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01F" w:rsidRDefault="000B101F" w:rsidP="00065D9C">
      <w:pPr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C3EDC94" wp14:editId="42A0FFBE">
            <wp:simplePos x="0" y="0"/>
            <wp:positionH relativeFrom="column">
              <wp:posOffset>400050</wp:posOffset>
            </wp:positionH>
            <wp:positionV relativeFrom="paragraph">
              <wp:posOffset>0</wp:posOffset>
            </wp:positionV>
            <wp:extent cx="723900" cy="723900"/>
            <wp:effectExtent l="0" t="0" r="0" b="0"/>
            <wp:wrapSquare wrapText="bothSides"/>
            <wp:docPr id="3" name="Picture 3" descr="NAC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CM Log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CB5" w:rsidRDefault="003B2BA6" w:rsidP="00065D9C">
      <w:pPr>
        <w:rPr>
          <w:rFonts w:ascii="Times New Roman" w:hAnsi="Times New Roman"/>
          <w:b/>
          <w:sz w:val="28"/>
          <w:szCs w:val="28"/>
        </w:rPr>
      </w:pPr>
      <w:r w:rsidRPr="00874339">
        <w:rPr>
          <w:rFonts w:ascii="Times New Roman" w:hAnsi="Times New Roman"/>
          <w:b/>
          <w:sz w:val="28"/>
          <w:szCs w:val="28"/>
        </w:rPr>
        <w:t xml:space="preserve">National Association </w:t>
      </w:r>
    </w:p>
    <w:p w:rsidR="003B2BA6" w:rsidRPr="00874339" w:rsidRDefault="00AC5CB5" w:rsidP="00AC5CB5">
      <w:pPr>
        <w:pStyle w:val="Default"/>
        <w:ind w:right="44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="003B2BA6" w:rsidRPr="00874339">
        <w:rPr>
          <w:rFonts w:ascii="Times New Roman" w:hAnsi="Times New Roman" w:cs="Times New Roman"/>
          <w:b/>
          <w:sz w:val="28"/>
          <w:szCs w:val="28"/>
        </w:rPr>
        <w:t>for</w:t>
      </w:r>
      <w:proofErr w:type="gramEnd"/>
      <w:r w:rsidR="003B2BA6" w:rsidRPr="00874339">
        <w:rPr>
          <w:rFonts w:ascii="Times New Roman" w:hAnsi="Times New Roman" w:cs="Times New Roman"/>
          <w:b/>
          <w:sz w:val="28"/>
          <w:szCs w:val="28"/>
        </w:rPr>
        <w:t xml:space="preserve"> Court Management   </w:t>
      </w:r>
      <w:r w:rsidR="003B2BA6">
        <w:rPr>
          <w:rFonts w:ascii="Times New Roman" w:hAnsi="Times New Roman" w:cs="Times New Roman"/>
          <w:b/>
          <w:sz w:val="28"/>
          <w:szCs w:val="28"/>
        </w:rPr>
        <w:tab/>
      </w:r>
      <w:r w:rsidR="003B2BA6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B101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AC5CB5">
        <w:rPr>
          <w:rFonts w:ascii="Times New Roman" w:hAnsi="Times New Roman" w:cs="Times New Roman"/>
          <w:b/>
          <w:i/>
          <w:sz w:val="28"/>
          <w:szCs w:val="28"/>
        </w:rPr>
        <w:t>S</w:t>
      </w:r>
      <w:r w:rsidR="003B2BA6" w:rsidRPr="00874339">
        <w:rPr>
          <w:rFonts w:ascii="Times New Roman" w:hAnsi="Times New Roman" w:cs="Times New Roman"/>
          <w:b/>
          <w:i/>
          <w:sz w:val="28"/>
          <w:szCs w:val="28"/>
        </w:rPr>
        <w:t>trengthening Court Professionals</w:t>
      </w:r>
    </w:p>
    <w:p w:rsidR="003B2BA6" w:rsidRDefault="000B101F" w:rsidP="003B2BA6">
      <w:pPr>
        <w:pStyle w:val="Default"/>
        <w:ind w:right="446"/>
        <w:jc w:val="center"/>
        <w:rPr>
          <w:rFonts w:ascii="Calibri" w:hAnsi="Calibri" w:cs="Calibri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13BFA57" wp14:editId="04FFB9CB">
                <wp:simplePos x="0" y="0"/>
                <wp:positionH relativeFrom="column">
                  <wp:posOffset>282575</wp:posOffset>
                </wp:positionH>
                <wp:positionV relativeFrom="paragraph">
                  <wp:posOffset>167640</wp:posOffset>
                </wp:positionV>
                <wp:extent cx="8972550" cy="0"/>
                <wp:effectExtent l="0" t="19050" r="1905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72550" cy="0"/>
                        </a:xfrm>
                        <a:prstGeom prst="line">
                          <a:avLst/>
                        </a:prstGeom>
                        <a:noFill/>
                        <a:ln w="2857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55972" id="Lin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25pt,13.2pt" to="728.7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" strokeweight="2.25pt">
                <v:stroke linestyle="thinThin"/>
              </v:line>
            </w:pict>
          </mc:Fallback>
        </mc:AlternateContent>
      </w:r>
    </w:p>
    <w:p w:rsidR="00065D9C" w:rsidRDefault="00065D9C" w:rsidP="003B2BA6">
      <w:pPr>
        <w:pStyle w:val="Default"/>
        <w:ind w:right="446"/>
        <w:jc w:val="center"/>
        <w:rPr>
          <w:rFonts w:ascii="Calibri" w:hAnsi="Calibri" w:cs="Calibri"/>
          <w:b/>
          <w:sz w:val="26"/>
          <w:szCs w:val="28"/>
        </w:rPr>
      </w:pPr>
    </w:p>
    <w:p w:rsidR="002A2992" w:rsidRDefault="003B2BA6" w:rsidP="003B2BA6">
      <w:pPr>
        <w:pStyle w:val="Default"/>
        <w:ind w:right="446"/>
        <w:jc w:val="center"/>
        <w:rPr>
          <w:rFonts w:ascii="Calibri" w:hAnsi="Calibri" w:cs="Calibri"/>
          <w:b/>
          <w:sz w:val="26"/>
          <w:szCs w:val="28"/>
        </w:rPr>
      </w:pPr>
      <w:r w:rsidRPr="00065D9C">
        <w:rPr>
          <w:rFonts w:ascii="Calibri" w:hAnsi="Calibri" w:cs="Calibri"/>
          <w:b/>
          <w:sz w:val="26"/>
          <w:szCs w:val="28"/>
        </w:rPr>
        <w:t xml:space="preserve">Committee </w:t>
      </w:r>
      <w:r w:rsidR="002A2992">
        <w:rPr>
          <w:rFonts w:ascii="Calibri" w:hAnsi="Calibri" w:cs="Calibri"/>
          <w:b/>
          <w:sz w:val="26"/>
          <w:szCs w:val="28"/>
        </w:rPr>
        <w:t xml:space="preserve">Progress </w:t>
      </w:r>
      <w:r w:rsidRPr="00065D9C">
        <w:rPr>
          <w:rFonts w:ascii="Calibri" w:hAnsi="Calibri" w:cs="Calibri"/>
          <w:b/>
          <w:sz w:val="26"/>
          <w:szCs w:val="28"/>
        </w:rPr>
        <w:t>Report Form</w:t>
      </w:r>
      <w:r w:rsidR="002A2992">
        <w:rPr>
          <w:rFonts w:ascii="Calibri" w:hAnsi="Calibri" w:cs="Calibri"/>
          <w:b/>
          <w:sz w:val="26"/>
          <w:szCs w:val="28"/>
        </w:rPr>
        <w:t xml:space="preserve"> – 2016-2017</w:t>
      </w:r>
    </w:p>
    <w:p w:rsidR="00564A09" w:rsidRPr="00065D9C" w:rsidRDefault="00564A09" w:rsidP="003B2BA6">
      <w:pPr>
        <w:pStyle w:val="Default"/>
        <w:ind w:right="446"/>
        <w:jc w:val="center"/>
        <w:rPr>
          <w:rFonts w:ascii="Calibri" w:hAnsi="Calibri" w:cs="Calibri"/>
          <w:b/>
          <w:sz w:val="26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5"/>
        <w:gridCol w:w="3600"/>
        <w:gridCol w:w="2514"/>
        <w:gridCol w:w="2678"/>
      </w:tblGrid>
      <w:tr w:rsidR="00A654EF" w:rsidRPr="00A654EF" w:rsidTr="00025171">
        <w:trPr>
          <w:jc w:val="center"/>
        </w:trPr>
        <w:tc>
          <w:tcPr>
            <w:tcW w:w="805" w:type="dxa"/>
            <w:shd w:val="clear" w:color="auto" w:fill="F2F2F2" w:themeFill="background1" w:themeFillShade="F2"/>
          </w:tcPr>
          <w:p w:rsidR="00A654EF" w:rsidRPr="00A654EF" w:rsidRDefault="00A654EF" w:rsidP="00061BAC">
            <w:pPr>
              <w:pStyle w:val="Default"/>
              <w:ind w:right="446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F2F2F2" w:themeFill="background1" w:themeFillShade="F2"/>
          </w:tcPr>
          <w:p w:rsidR="00A654EF" w:rsidRPr="00A654EF" w:rsidRDefault="00A654EF" w:rsidP="00061BAC">
            <w:pPr>
              <w:pStyle w:val="Default"/>
              <w:ind w:right="446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Report</w:t>
            </w:r>
          </w:p>
        </w:tc>
        <w:tc>
          <w:tcPr>
            <w:tcW w:w="2514" w:type="dxa"/>
            <w:shd w:val="clear" w:color="auto" w:fill="F2F2F2" w:themeFill="background1" w:themeFillShade="F2"/>
          </w:tcPr>
          <w:p w:rsidR="00A654EF" w:rsidRPr="00A654EF" w:rsidRDefault="00A654EF" w:rsidP="003B2BA6">
            <w:pPr>
              <w:pStyle w:val="Default"/>
              <w:ind w:right="446"/>
              <w:rPr>
                <w:rFonts w:ascii="Calibri" w:hAnsi="Calibri" w:cs="Calibri"/>
                <w:b/>
                <w:sz w:val="22"/>
                <w:szCs w:val="22"/>
              </w:rPr>
            </w:pPr>
            <w:r w:rsidRPr="00A654EF">
              <w:rPr>
                <w:rFonts w:ascii="Calibri" w:hAnsi="Calibri" w:cs="Calibri"/>
                <w:b/>
                <w:sz w:val="22"/>
                <w:szCs w:val="22"/>
              </w:rPr>
              <w:t>Due Date</w:t>
            </w:r>
          </w:p>
        </w:tc>
        <w:tc>
          <w:tcPr>
            <w:tcW w:w="2678" w:type="dxa"/>
            <w:shd w:val="clear" w:color="auto" w:fill="F2F2F2" w:themeFill="background1" w:themeFillShade="F2"/>
          </w:tcPr>
          <w:p w:rsidR="00A654EF" w:rsidRPr="00A654EF" w:rsidRDefault="00A654EF" w:rsidP="003B2BA6">
            <w:pPr>
              <w:pStyle w:val="Default"/>
              <w:ind w:right="446"/>
              <w:rPr>
                <w:rFonts w:ascii="Calibri" w:hAnsi="Calibri" w:cs="Calibri"/>
                <w:b/>
                <w:sz w:val="22"/>
                <w:szCs w:val="22"/>
              </w:rPr>
            </w:pPr>
            <w:r w:rsidRPr="00A654EF">
              <w:rPr>
                <w:rFonts w:ascii="Calibri" w:hAnsi="Calibri" w:cs="Calibri"/>
                <w:b/>
                <w:sz w:val="22"/>
                <w:szCs w:val="22"/>
              </w:rPr>
              <w:t>Submission Date</w:t>
            </w:r>
          </w:p>
        </w:tc>
      </w:tr>
      <w:tr w:rsidR="00A654EF" w:rsidRPr="00A654EF" w:rsidTr="00025171">
        <w:trPr>
          <w:jc w:val="center"/>
        </w:trPr>
        <w:tc>
          <w:tcPr>
            <w:tcW w:w="805" w:type="dxa"/>
          </w:tcPr>
          <w:p w:rsidR="00A654EF" w:rsidRPr="00A654EF" w:rsidRDefault="00A654EF" w:rsidP="00061BAC">
            <w:pPr>
              <w:pStyle w:val="Default"/>
              <w:ind w:right="446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600" w:type="dxa"/>
          </w:tcPr>
          <w:p w:rsidR="00A654EF" w:rsidRPr="00A654EF" w:rsidRDefault="00A654EF" w:rsidP="00061BAC">
            <w:pPr>
              <w:pStyle w:val="Default"/>
              <w:ind w:right="446"/>
              <w:rPr>
                <w:rFonts w:ascii="Calibri" w:hAnsi="Calibri" w:cs="Calibri"/>
                <w:sz w:val="22"/>
                <w:szCs w:val="22"/>
              </w:rPr>
            </w:pPr>
            <w:r w:rsidRPr="00A654EF">
              <w:rPr>
                <w:rFonts w:ascii="Calibri" w:hAnsi="Calibri" w:cs="Calibri"/>
                <w:sz w:val="22"/>
                <w:szCs w:val="22"/>
              </w:rPr>
              <w:t>Fall Progress Report</w:t>
            </w:r>
          </w:p>
        </w:tc>
        <w:tc>
          <w:tcPr>
            <w:tcW w:w="2514" w:type="dxa"/>
          </w:tcPr>
          <w:p w:rsidR="00A654EF" w:rsidRPr="00A654EF" w:rsidRDefault="00A654EF" w:rsidP="00D34EA1">
            <w:pPr>
              <w:pStyle w:val="Default"/>
              <w:ind w:right="446"/>
              <w:rPr>
                <w:rFonts w:ascii="Calibri" w:hAnsi="Calibri" w:cs="Calibri"/>
                <w:sz w:val="22"/>
                <w:szCs w:val="22"/>
              </w:rPr>
            </w:pPr>
            <w:r w:rsidRPr="00A654EF">
              <w:rPr>
                <w:rFonts w:ascii="Calibri" w:hAnsi="Calibri" w:cs="Calibri"/>
                <w:sz w:val="22"/>
                <w:szCs w:val="22"/>
              </w:rPr>
              <w:t>October 10, 2016</w:t>
            </w:r>
          </w:p>
        </w:tc>
        <w:tc>
          <w:tcPr>
            <w:tcW w:w="2678" w:type="dxa"/>
          </w:tcPr>
          <w:p w:rsidR="00A654EF" w:rsidRPr="00A654EF" w:rsidRDefault="00A654EF" w:rsidP="003B2BA6">
            <w:pPr>
              <w:pStyle w:val="Default"/>
              <w:ind w:right="446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54EF" w:rsidRPr="00A654EF" w:rsidTr="00025171">
        <w:trPr>
          <w:jc w:val="center"/>
        </w:trPr>
        <w:tc>
          <w:tcPr>
            <w:tcW w:w="805" w:type="dxa"/>
          </w:tcPr>
          <w:p w:rsidR="00A654EF" w:rsidRPr="006E65DC" w:rsidRDefault="00A654EF" w:rsidP="00A654EF">
            <w:pPr>
              <w:pStyle w:val="Default"/>
              <w:ind w:right="45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600" w:type="dxa"/>
          </w:tcPr>
          <w:p w:rsidR="00A654EF" w:rsidRPr="00645B51" w:rsidRDefault="00A654EF" w:rsidP="00D34EA1">
            <w:pPr>
              <w:pStyle w:val="Default"/>
              <w:ind w:right="446"/>
              <w:rPr>
                <w:rFonts w:ascii="Calibri" w:hAnsi="Calibri" w:cs="Calibri"/>
                <w:sz w:val="22"/>
                <w:szCs w:val="22"/>
              </w:rPr>
            </w:pPr>
            <w:r w:rsidRPr="00645B51">
              <w:rPr>
                <w:rFonts w:ascii="Calibri" w:hAnsi="Calibri" w:cs="Calibri"/>
                <w:sz w:val="22"/>
                <w:szCs w:val="22"/>
              </w:rPr>
              <w:t>Midyear Progress Report</w:t>
            </w:r>
          </w:p>
        </w:tc>
        <w:tc>
          <w:tcPr>
            <w:tcW w:w="2514" w:type="dxa"/>
          </w:tcPr>
          <w:p w:rsidR="00A654EF" w:rsidRPr="00645B51" w:rsidRDefault="00A654EF" w:rsidP="006A66EE">
            <w:pPr>
              <w:pStyle w:val="Default"/>
              <w:ind w:right="446"/>
              <w:rPr>
                <w:rFonts w:ascii="Calibri" w:hAnsi="Calibri" w:cs="Calibri"/>
                <w:sz w:val="22"/>
                <w:szCs w:val="22"/>
              </w:rPr>
            </w:pPr>
            <w:r w:rsidRPr="00645B51">
              <w:rPr>
                <w:rFonts w:ascii="Calibri" w:hAnsi="Calibri" w:cs="Calibri"/>
                <w:sz w:val="22"/>
                <w:szCs w:val="22"/>
              </w:rPr>
              <w:t xml:space="preserve">January </w:t>
            </w:r>
            <w:r w:rsidR="006E65DC" w:rsidRPr="00645B51">
              <w:rPr>
                <w:rFonts w:ascii="Calibri" w:hAnsi="Calibri" w:cs="Calibri"/>
                <w:sz w:val="22"/>
                <w:szCs w:val="22"/>
              </w:rPr>
              <w:t>6</w:t>
            </w:r>
            <w:r w:rsidRPr="00645B51">
              <w:rPr>
                <w:rFonts w:ascii="Calibri" w:hAnsi="Calibri" w:cs="Calibri"/>
                <w:sz w:val="22"/>
                <w:szCs w:val="22"/>
              </w:rPr>
              <w:t>, 2017</w:t>
            </w:r>
          </w:p>
        </w:tc>
        <w:tc>
          <w:tcPr>
            <w:tcW w:w="2678" w:type="dxa"/>
          </w:tcPr>
          <w:p w:rsidR="003318C0" w:rsidRPr="00645B51" w:rsidRDefault="003318C0" w:rsidP="003B2BA6">
            <w:pPr>
              <w:pStyle w:val="Default"/>
              <w:ind w:right="446"/>
              <w:rPr>
                <w:rFonts w:ascii="Calibri" w:hAnsi="Calibri" w:cs="Calibri"/>
                <w:sz w:val="22"/>
                <w:szCs w:val="22"/>
              </w:rPr>
            </w:pPr>
            <w:r w:rsidRPr="00645B51">
              <w:rPr>
                <w:rFonts w:ascii="Calibri" w:hAnsi="Calibri" w:cs="Calibri"/>
                <w:sz w:val="22"/>
                <w:szCs w:val="22"/>
              </w:rPr>
              <w:t>1/4/17</w:t>
            </w:r>
          </w:p>
        </w:tc>
      </w:tr>
      <w:tr w:rsidR="00A654EF" w:rsidRPr="00645B51" w:rsidTr="00025171">
        <w:trPr>
          <w:jc w:val="center"/>
        </w:trPr>
        <w:tc>
          <w:tcPr>
            <w:tcW w:w="805" w:type="dxa"/>
          </w:tcPr>
          <w:p w:rsidR="00A654EF" w:rsidRPr="00645B51" w:rsidRDefault="00645B51" w:rsidP="00645B51">
            <w:pPr>
              <w:pStyle w:val="Default"/>
              <w:ind w:right="446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3600" w:type="dxa"/>
          </w:tcPr>
          <w:p w:rsidR="00A654EF" w:rsidRPr="00645B51" w:rsidRDefault="00A654EF" w:rsidP="003B2BA6">
            <w:pPr>
              <w:pStyle w:val="Default"/>
              <w:ind w:right="446"/>
              <w:rPr>
                <w:rFonts w:ascii="Calibri" w:hAnsi="Calibri" w:cs="Calibri"/>
                <w:b/>
                <w:sz w:val="22"/>
                <w:szCs w:val="22"/>
              </w:rPr>
            </w:pPr>
            <w:r w:rsidRPr="00645B51">
              <w:rPr>
                <w:rFonts w:ascii="Calibri" w:hAnsi="Calibri" w:cs="Calibri"/>
                <w:b/>
                <w:sz w:val="22"/>
                <w:szCs w:val="22"/>
              </w:rPr>
              <w:t>Annual Progress Report</w:t>
            </w:r>
          </w:p>
        </w:tc>
        <w:tc>
          <w:tcPr>
            <w:tcW w:w="2514" w:type="dxa"/>
          </w:tcPr>
          <w:p w:rsidR="00A654EF" w:rsidRPr="00645B51" w:rsidRDefault="00A654EF" w:rsidP="00C30F03">
            <w:pPr>
              <w:pStyle w:val="Default"/>
              <w:ind w:right="446"/>
              <w:rPr>
                <w:rFonts w:ascii="Calibri" w:hAnsi="Calibri" w:cs="Calibri"/>
                <w:b/>
                <w:sz w:val="22"/>
                <w:szCs w:val="22"/>
              </w:rPr>
            </w:pPr>
            <w:r w:rsidRPr="00645B51">
              <w:rPr>
                <w:rFonts w:ascii="Calibri" w:hAnsi="Calibri" w:cs="Calibri"/>
                <w:b/>
                <w:sz w:val="22"/>
                <w:szCs w:val="22"/>
              </w:rPr>
              <w:t xml:space="preserve">June </w:t>
            </w:r>
            <w:r w:rsidR="00C30F03">
              <w:rPr>
                <w:rFonts w:ascii="Calibri" w:hAnsi="Calibri" w:cs="Calibri"/>
                <w:b/>
                <w:sz w:val="22"/>
                <w:szCs w:val="22"/>
              </w:rPr>
              <w:t>16</w:t>
            </w:r>
            <w:r w:rsidRPr="00645B51">
              <w:rPr>
                <w:rFonts w:ascii="Calibri" w:hAnsi="Calibri" w:cs="Calibri"/>
                <w:b/>
                <w:sz w:val="22"/>
                <w:szCs w:val="22"/>
              </w:rPr>
              <w:t>, 2017</w:t>
            </w:r>
          </w:p>
        </w:tc>
        <w:tc>
          <w:tcPr>
            <w:tcW w:w="2678" w:type="dxa"/>
          </w:tcPr>
          <w:p w:rsidR="00A654EF" w:rsidRPr="00645B51" w:rsidRDefault="00645B51" w:rsidP="003B2BA6">
            <w:pPr>
              <w:pStyle w:val="Default"/>
              <w:ind w:right="446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 w:rsidR="0002530E">
              <w:rPr>
                <w:rFonts w:ascii="Calibri" w:hAnsi="Calibri" w:cs="Calibri"/>
                <w:b/>
                <w:sz w:val="22"/>
                <w:szCs w:val="22"/>
              </w:rPr>
              <w:t>/13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/17</w:t>
            </w:r>
          </w:p>
        </w:tc>
      </w:tr>
    </w:tbl>
    <w:p w:rsidR="002A2992" w:rsidRPr="00645B51" w:rsidRDefault="002A2992" w:rsidP="003B2BA6">
      <w:pPr>
        <w:pStyle w:val="Default"/>
        <w:ind w:right="446"/>
        <w:rPr>
          <w:rFonts w:ascii="Calibri" w:hAnsi="Calibri" w:cs="Calibri"/>
          <w:b/>
          <w:sz w:val="28"/>
          <w:szCs w:val="28"/>
        </w:rPr>
      </w:pPr>
    </w:p>
    <w:tbl>
      <w:tblPr>
        <w:tblStyle w:val="TableGrid"/>
        <w:tblW w:w="14130" w:type="dxa"/>
        <w:tblInd w:w="625" w:type="dxa"/>
        <w:tblLook w:val="04A0" w:firstRow="1" w:lastRow="0" w:firstColumn="1" w:lastColumn="0" w:noHBand="0" w:noVBand="1"/>
      </w:tblPr>
      <w:tblGrid>
        <w:gridCol w:w="2423"/>
        <w:gridCol w:w="4417"/>
        <w:gridCol w:w="1172"/>
        <w:gridCol w:w="1173"/>
        <w:gridCol w:w="1435"/>
        <w:gridCol w:w="3510"/>
      </w:tblGrid>
      <w:tr w:rsidR="00F310B8" w:rsidRPr="00496DB8" w:rsidTr="00FE789B">
        <w:trPr>
          <w:tblHeader/>
        </w:trPr>
        <w:tc>
          <w:tcPr>
            <w:tcW w:w="2423" w:type="dxa"/>
            <w:shd w:val="clear" w:color="auto" w:fill="F2F2F2" w:themeFill="background1" w:themeFillShade="F2"/>
            <w:vAlign w:val="center"/>
          </w:tcPr>
          <w:p w:rsidR="00F310B8" w:rsidRPr="00496DB8" w:rsidRDefault="00F310B8" w:rsidP="00F417DC">
            <w:pPr>
              <w:pStyle w:val="Default"/>
              <w:ind w:right="446"/>
              <w:rPr>
                <w:rFonts w:ascii="Calibri" w:hAnsi="Calibri" w:cs="Calibri"/>
                <w:b/>
                <w:sz w:val="22"/>
                <w:szCs w:val="22"/>
              </w:rPr>
            </w:pPr>
            <w:r w:rsidRPr="00496DB8">
              <w:rPr>
                <w:rFonts w:ascii="Calibri" w:hAnsi="Calibri" w:cs="Calibri"/>
                <w:b/>
                <w:sz w:val="22"/>
                <w:szCs w:val="22"/>
              </w:rPr>
              <w:t>Project</w:t>
            </w:r>
          </w:p>
        </w:tc>
        <w:tc>
          <w:tcPr>
            <w:tcW w:w="4417" w:type="dxa"/>
            <w:shd w:val="clear" w:color="auto" w:fill="F2F2F2" w:themeFill="background1" w:themeFillShade="F2"/>
            <w:vAlign w:val="center"/>
          </w:tcPr>
          <w:p w:rsidR="00F310B8" w:rsidRPr="00496DB8" w:rsidRDefault="00F310B8" w:rsidP="00584FB3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6DB8">
              <w:rPr>
                <w:rFonts w:ascii="Calibri" w:hAnsi="Calibri" w:cs="Calibri"/>
                <w:b/>
                <w:sz w:val="22"/>
                <w:szCs w:val="22"/>
              </w:rPr>
              <w:t xml:space="preserve">Project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S</w:t>
            </w:r>
            <w:r w:rsidRPr="00496DB8">
              <w:rPr>
                <w:rFonts w:ascii="Calibri" w:hAnsi="Calibri" w:cs="Calibri"/>
                <w:b/>
                <w:sz w:val="22"/>
                <w:szCs w:val="22"/>
              </w:rPr>
              <w:t>tatus</w:t>
            </w:r>
          </w:p>
        </w:tc>
        <w:tc>
          <w:tcPr>
            <w:tcW w:w="1172" w:type="dxa"/>
            <w:shd w:val="clear" w:color="auto" w:fill="F2F2F2" w:themeFill="background1" w:themeFillShade="F2"/>
            <w:vAlign w:val="center"/>
          </w:tcPr>
          <w:p w:rsidR="00F310B8" w:rsidRPr="00905210" w:rsidRDefault="00F310B8" w:rsidP="004A59B8">
            <w:pPr>
              <w:pStyle w:val="Default"/>
              <w:jc w:val="center"/>
              <w:rPr>
                <w:rFonts w:ascii="Calibri" w:hAnsi="Calibri" w:cs="Calibri"/>
                <w:b/>
                <w:color w:val="C00000"/>
                <w:sz w:val="22"/>
                <w:szCs w:val="22"/>
              </w:rPr>
            </w:pPr>
            <w:r w:rsidRPr="00905210">
              <w:rPr>
                <w:rFonts w:ascii="Calibri" w:hAnsi="Calibri" w:cs="Calibri"/>
                <w:b/>
                <w:color w:val="C00000"/>
                <w:sz w:val="22"/>
                <w:szCs w:val="22"/>
              </w:rPr>
              <w:t xml:space="preserve">Strategic Priority?  </w:t>
            </w:r>
          </w:p>
          <w:p w:rsidR="00F310B8" w:rsidRPr="00496DB8" w:rsidRDefault="00F310B8" w:rsidP="004A59B8">
            <w:pPr>
              <w:pStyle w:val="Default"/>
              <w:ind w:right="45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05210">
              <w:rPr>
                <w:rFonts w:ascii="Calibri" w:hAnsi="Calibri" w:cs="Calibri"/>
                <w:b/>
                <w:color w:val="C00000"/>
                <w:sz w:val="22"/>
                <w:szCs w:val="22"/>
              </w:rPr>
              <w:t>(Yes/No)</w:t>
            </w:r>
          </w:p>
        </w:tc>
        <w:tc>
          <w:tcPr>
            <w:tcW w:w="1173" w:type="dxa"/>
            <w:shd w:val="clear" w:color="auto" w:fill="F2F2F2" w:themeFill="background1" w:themeFillShade="F2"/>
            <w:vAlign w:val="center"/>
          </w:tcPr>
          <w:p w:rsidR="00F310B8" w:rsidRDefault="00F310B8" w:rsidP="004A59B8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6DB8">
              <w:rPr>
                <w:rFonts w:ascii="Calibri" w:hAnsi="Calibri" w:cs="Calibri"/>
                <w:b/>
                <w:sz w:val="22"/>
                <w:szCs w:val="22"/>
              </w:rPr>
              <w:t xml:space="preserve">Discussion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N</w:t>
            </w:r>
            <w:r w:rsidRPr="00496DB8">
              <w:rPr>
                <w:rFonts w:ascii="Calibri" w:hAnsi="Calibri" w:cs="Calibri"/>
                <w:b/>
                <w:sz w:val="22"/>
                <w:szCs w:val="22"/>
              </w:rPr>
              <w:t xml:space="preserve">eeded?  </w:t>
            </w:r>
          </w:p>
          <w:p w:rsidR="00F310B8" w:rsidRPr="00496DB8" w:rsidRDefault="00F310B8" w:rsidP="004577CC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(Yes/</w:t>
            </w:r>
            <w:r w:rsidRPr="00496DB8">
              <w:rPr>
                <w:rFonts w:ascii="Calibri" w:hAnsi="Calibri" w:cs="Calibri"/>
                <w:b/>
                <w:sz w:val="22"/>
                <w:szCs w:val="22"/>
              </w:rPr>
              <w:t>No)</w:t>
            </w:r>
          </w:p>
        </w:tc>
        <w:tc>
          <w:tcPr>
            <w:tcW w:w="1435" w:type="dxa"/>
            <w:shd w:val="clear" w:color="auto" w:fill="F2F2F2" w:themeFill="background1" w:themeFillShade="F2"/>
            <w:vAlign w:val="center"/>
          </w:tcPr>
          <w:p w:rsidR="00F310B8" w:rsidRDefault="00F310B8" w:rsidP="004A59B8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6DB8">
              <w:rPr>
                <w:rFonts w:ascii="Calibri" w:hAnsi="Calibri" w:cs="Calibri"/>
                <w:b/>
                <w:sz w:val="22"/>
                <w:szCs w:val="22"/>
              </w:rPr>
              <w:t xml:space="preserve">Board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 w:rsidRPr="00496DB8">
              <w:rPr>
                <w:rFonts w:ascii="Calibri" w:hAnsi="Calibri" w:cs="Calibri"/>
                <w:b/>
                <w:sz w:val="22"/>
                <w:szCs w:val="22"/>
              </w:rPr>
              <w:t xml:space="preserve">ction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N</w:t>
            </w:r>
            <w:r w:rsidRPr="00496DB8">
              <w:rPr>
                <w:rFonts w:ascii="Calibri" w:hAnsi="Calibri" w:cs="Calibri"/>
                <w:b/>
                <w:sz w:val="22"/>
                <w:szCs w:val="22"/>
              </w:rPr>
              <w:t xml:space="preserve">eeded?  </w:t>
            </w:r>
          </w:p>
          <w:p w:rsidR="00F310B8" w:rsidRPr="00496DB8" w:rsidRDefault="00F310B8" w:rsidP="004577CC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(Yes/</w:t>
            </w:r>
            <w:r w:rsidRPr="00496DB8">
              <w:rPr>
                <w:rFonts w:ascii="Calibri" w:hAnsi="Calibri" w:cs="Calibri"/>
                <w:b/>
                <w:sz w:val="22"/>
                <w:szCs w:val="22"/>
              </w:rPr>
              <w:t>No)</w:t>
            </w:r>
          </w:p>
        </w:tc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F310B8" w:rsidRPr="00496DB8" w:rsidRDefault="00F310B8" w:rsidP="000811C7">
            <w:pPr>
              <w:pStyle w:val="Default"/>
              <w:ind w:right="16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If </w:t>
            </w:r>
            <w:r w:rsidR="008B11DA">
              <w:rPr>
                <w:rFonts w:ascii="Calibri" w:hAnsi="Calibri" w:cs="Calibri"/>
                <w:b/>
                <w:sz w:val="22"/>
                <w:szCs w:val="22"/>
              </w:rPr>
              <w:t>Y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es</w:t>
            </w:r>
            <w:r w:rsidR="000811C7">
              <w:rPr>
                <w:rFonts w:ascii="Calibri" w:hAnsi="Calibri" w:cs="Calibri"/>
                <w:b/>
                <w:sz w:val="22"/>
                <w:szCs w:val="22"/>
              </w:rPr>
              <w:t xml:space="preserve"> to discussion or action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r w:rsidR="000811C7">
              <w:rPr>
                <w:rFonts w:ascii="Calibri" w:hAnsi="Calibri" w:cs="Calibri"/>
                <w:b/>
                <w:sz w:val="22"/>
                <w:szCs w:val="22"/>
              </w:rPr>
              <w:t xml:space="preserve">    </w:t>
            </w:r>
            <w:r w:rsidR="008B11DA">
              <w:rPr>
                <w:rFonts w:ascii="Calibri" w:hAnsi="Calibri" w:cs="Calibri"/>
                <w:b/>
                <w:sz w:val="22"/>
                <w:szCs w:val="22"/>
              </w:rPr>
              <w:t xml:space="preserve">please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describe </w:t>
            </w:r>
            <w:r w:rsidR="000811C7">
              <w:rPr>
                <w:rFonts w:ascii="Calibri" w:hAnsi="Calibri" w:cs="Calibri"/>
                <w:b/>
                <w:sz w:val="22"/>
                <w:szCs w:val="22"/>
              </w:rPr>
              <w:t>what needed</w:t>
            </w:r>
          </w:p>
        </w:tc>
      </w:tr>
      <w:tr w:rsidR="00F310B8" w:rsidRPr="00496DB8" w:rsidTr="000811C7">
        <w:tc>
          <w:tcPr>
            <w:tcW w:w="2423" w:type="dxa"/>
          </w:tcPr>
          <w:p w:rsidR="0062641C" w:rsidRDefault="0062641C" w:rsidP="00507522">
            <w:pPr>
              <w:pStyle w:val="Default"/>
              <w:ind w:right="446"/>
              <w:rPr>
                <w:rFonts w:asciiTheme="minorHAnsi" w:hAnsiTheme="minorHAnsi" w:cs="Calibri"/>
                <w:b/>
                <w:sz w:val="21"/>
                <w:szCs w:val="21"/>
              </w:rPr>
            </w:pPr>
          </w:p>
          <w:p w:rsidR="00FA58C8" w:rsidRPr="003318C0" w:rsidRDefault="003318C0" w:rsidP="00507522">
            <w:pPr>
              <w:pStyle w:val="Default"/>
              <w:ind w:right="446"/>
              <w:rPr>
                <w:rFonts w:asciiTheme="minorHAnsi" w:hAnsiTheme="minorHAnsi" w:cs="Calibri"/>
                <w:b/>
                <w:i/>
                <w:sz w:val="21"/>
                <w:szCs w:val="21"/>
              </w:rPr>
            </w:pPr>
            <w:r w:rsidRPr="003318C0">
              <w:rPr>
                <w:rFonts w:asciiTheme="minorHAnsi" w:hAnsiTheme="minorHAnsi" w:cs="Calibri"/>
                <w:b/>
                <w:i/>
                <w:sz w:val="21"/>
                <w:szCs w:val="21"/>
              </w:rPr>
              <w:t>Court Express</w:t>
            </w:r>
          </w:p>
        </w:tc>
        <w:tc>
          <w:tcPr>
            <w:tcW w:w="4417" w:type="dxa"/>
            <w:vAlign w:val="center"/>
          </w:tcPr>
          <w:p w:rsidR="009F5234" w:rsidRPr="009F5234" w:rsidRDefault="006D7FDB" w:rsidP="006D7FDB">
            <w:pPr>
              <w:pStyle w:val="Default"/>
              <w:ind w:right="45"/>
              <w:rPr>
                <w:rFonts w:asciiTheme="minorHAnsi" w:hAnsiTheme="minorHAnsi" w:cs="Calibri"/>
                <w:sz w:val="21"/>
                <w:szCs w:val="21"/>
              </w:rPr>
            </w:pPr>
            <w:r>
              <w:rPr>
                <w:rFonts w:asciiTheme="minorHAnsi" w:hAnsiTheme="minorHAnsi" w:cs="Calibri"/>
                <w:sz w:val="21"/>
                <w:szCs w:val="21"/>
              </w:rPr>
              <w:t>The n</w:t>
            </w:r>
            <w:r w:rsidR="003318C0">
              <w:rPr>
                <w:rFonts w:asciiTheme="minorHAnsi" w:hAnsiTheme="minorHAnsi" w:cs="Calibri"/>
                <w:sz w:val="21"/>
                <w:szCs w:val="21"/>
              </w:rPr>
              <w:t xml:space="preserve">ext </w:t>
            </w:r>
            <w:r>
              <w:rPr>
                <w:rFonts w:asciiTheme="minorHAnsi" w:hAnsiTheme="minorHAnsi" w:cs="Calibri"/>
                <w:sz w:val="21"/>
                <w:szCs w:val="21"/>
              </w:rPr>
              <w:t xml:space="preserve">edition of the </w:t>
            </w:r>
            <w:r w:rsidR="003318C0" w:rsidRPr="003318C0">
              <w:rPr>
                <w:rFonts w:asciiTheme="minorHAnsi" w:hAnsiTheme="minorHAnsi" w:cs="Calibri"/>
                <w:i/>
                <w:sz w:val="21"/>
                <w:szCs w:val="21"/>
              </w:rPr>
              <w:t>Court Express</w:t>
            </w:r>
            <w:r w:rsidR="003318C0">
              <w:rPr>
                <w:rFonts w:asciiTheme="minorHAnsi" w:hAnsiTheme="minorHAnsi" w:cs="Calibri"/>
                <w:sz w:val="21"/>
                <w:szCs w:val="21"/>
              </w:rPr>
              <w:t xml:space="preserve"> will be </w:t>
            </w:r>
            <w:r>
              <w:rPr>
                <w:rFonts w:asciiTheme="minorHAnsi" w:hAnsiTheme="minorHAnsi" w:cs="Calibri"/>
                <w:sz w:val="21"/>
                <w:szCs w:val="21"/>
              </w:rPr>
              <w:t xml:space="preserve">emailed on </w:t>
            </w:r>
            <w:r w:rsidR="00645B51">
              <w:rPr>
                <w:rFonts w:asciiTheme="minorHAnsi" w:hAnsiTheme="minorHAnsi" w:cs="Calibri"/>
                <w:sz w:val="21"/>
                <w:szCs w:val="21"/>
              </w:rPr>
              <w:t>August 24</w:t>
            </w:r>
            <w:r w:rsidR="003318C0">
              <w:rPr>
                <w:rFonts w:asciiTheme="minorHAnsi" w:hAnsiTheme="minorHAnsi" w:cs="Calibri"/>
                <w:sz w:val="21"/>
                <w:szCs w:val="21"/>
              </w:rPr>
              <w:t xml:space="preserve">, 2017.  </w:t>
            </w:r>
            <w:r w:rsidR="00645B51">
              <w:rPr>
                <w:rFonts w:asciiTheme="minorHAnsi" w:hAnsiTheme="minorHAnsi" w:cs="Calibri"/>
                <w:sz w:val="21"/>
                <w:szCs w:val="21"/>
              </w:rPr>
              <w:t xml:space="preserve">Copy deadline is August 7, 2017.  </w:t>
            </w:r>
            <w:r w:rsidR="00A34FBC">
              <w:rPr>
                <w:rFonts w:asciiTheme="minorHAnsi" w:hAnsiTheme="minorHAnsi" w:cs="Calibri"/>
                <w:sz w:val="21"/>
                <w:szCs w:val="21"/>
              </w:rPr>
              <w:t>The p</w:t>
            </w:r>
            <w:r>
              <w:rPr>
                <w:rFonts w:asciiTheme="minorHAnsi" w:hAnsiTheme="minorHAnsi" w:cs="Calibri"/>
                <w:sz w:val="21"/>
                <w:szCs w:val="21"/>
              </w:rPr>
              <w:t>ublication s</w:t>
            </w:r>
            <w:r w:rsidR="00645B51">
              <w:rPr>
                <w:rFonts w:asciiTheme="minorHAnsi" w:hAnsiTheme="minorHAnsi" w:cs="Calibri"/>
                <w:sz w:val="21"/>
                <w:szCs w:val="21"/>
              </w:rPr>
              <w:t xml:space="preserve">chedule </w:t>
            </w:r>
            <w:r w:rsidR="00A34FBC">
              <w:rPr>
                <w:rFonts w:asciiTheme="minorHAnsi" w:hAnsiTheme="minorHAnsi" w:cs="Calibri"/>
                <w:sz w:val="21"/>
                <w:szCs w:val="21"/>
              </w:rPr>
              <w:t xml:space="preserve">for the Court Express </w:t>
            </w:r>
            <w:r>
              <w:rPr>
                <w:rFonts w:asciiTheme="minorHAnsi" w:hAnsiTheme="minorHAnsi" w:cs="Calibri"/>
                <w:sz w:val="21"/>
                <w:szCs w:val="21"/>
              </w:rPr>
              <w:t xml:space="preserve">was </w:t>
            </w:r>
            <w:r w:rsidR="00645B51">
              <w:rPr>
                <w:rFonts w:asciiTheme="minorHAnsi" w:hAnsiTheme="minorHAnsi" w:cs="Calibri"/>
                <w:sz w:val="21"/>
                <w:szCs w:val="21"/>
              </w:rPr>
              <w:t xml:space="preserve">revised to </w:t>
            </w:r>
            <w:r>
              <w:rPr>
                <w:rFonts w:asciiTheme="minorHAnsi" w:hAnsiTheme="minorHAnsi" w:cs="Calibri"/>
                <w:sz w:val="21"/>
                <w:szCs w:val="21"/>
              </w:rPr>
              <w:t>avoid</w:t>
            </w:r>
            <w:r w:rsidR="00645B51">
              <w:rPr>
                <w:rFonts w:asciiTheme="minorHAnsi" w:hAnsiTheme="minorHAnsi" w:cs="Calibri"/>
                <w:sz w:val="21"/>
                <w:szCs w:val="21"/>
              </w:rPr>
              <w:t xml:space="preserve"> coincid</w:t>
            </w:r>
            <w:r>
              <w:rPr>
                <w:rFonts w:asciiTheme="minorHAnsi" w:hAnsiTheme="minorHAnsi" w:cs="Calibri"/>
                <w:sz w:val="21"/>
                <w:szCs w:val="21"/>
              </w:rPr>
              <w:t>ing</w:t>
            </w:r>
            <w:r w:rsidR="00645B51">
              <w:rPr>
                <w:rFonts w:asciiTheme="minorHAnsi" w:hAnsiTheme="minorHAnsi" w:cs="Calibri"/>
                <w:sz w:val="21"/>
                <w:szCs w:val="21"/>
              </w:rPr>
              <w:t xml:space="preserve"> with </w:t>
            </w:r>
            <w:r>
              <w:rPr>
                <w:rFonts w:asciiTheme="minorHAnsi" w:hAnsiTheme="minorHAnsi" w:cs="Calibri"/>
                <w:sz w:val="21"/>
                <w:szCs w:val="21"/>
              </w:rPr>
              <w:t xml:space="preserve">the </w:t>
            </w:r>
            <w:r w:rsidR="00645B51" w:rsidRPr="00645B51">
              <w:rPr>
                <w:rFonts w:asciiTheme="minorHAnsi" w:hAnsiTheme="minorHAnsi" w:cs="Calibri"/>
                <w:i/>
                <w:sz w:val="21"/>
                <w:szCs w:val="21"/>
              </w:rPr>
              <w:t>Court Manager</w:t>
            </w:r>
            <w:r w:rsidR="00645B51">
              <w:rPr>
                <w:rFonts w:asciiTheme="minorHAnsi" w:hAnsiTheme="minorHAnsi" w:cs="Calibri"/>
                <w:sz w:val="21"/>
                <w:szCs w:val="21"/>
              </w:rPr>
              <w:t xml:space="preserve"> publication.  </w:t>
            </w:r>
            <w:r w:rsidR="003318C0">
              <w:rPr>
                <w:rFonts w:asciiTheme="minorHAnsi" w:hAnsiTheme="minorHAnsi" w:cs="Calibri"/>
                <w:sz w:val="21"/>
                <w:szCs w:val="21"/>
              </w:rPr>
              <w:t xml:space="preserve">  </w:t>
            </w:r>
          </w:p>
        </w:tc>
        <w:tc>
          <w:tcPr>
            <w:tcW w:w="1172" w:type="dxa"/>
          </w:tcPr>
          <w:p w:rsidR="00F310B8" w:rsidRPr="00905210" w:rsidRDefault="003318C0" w:rsidP="004A59B8">
            <w:pPr>
              <w:pStyle w:val="Default"/>
              <w:ind w:right="446"/>
              <w:rPr>
                <w:rFonts w:ascii="Calibri" w:hAnsi="Calibri" w:cs="Calibri"/>
                <w:b/>
                <w:color w:val="C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C00000"/>
                <w:sz w:val="22"/>
                <w:szCs w:val="22"/>
              </w:rPr>
              <w:t>Yes</w:t>
            </w:r>
          </w:p>
        </w:tc>
        <w:tc>
          <w:tcPr>
            <w:tcW w:w="1173" w:type="dxa"/>
          </w:tcPr>
          <w:p w:rsidR="00F310B8" w:rsidRPr="00496DB8" w:rsidRDefault="003318C0" w:rsidP="004A59B8">
            <w:pPr>
              <w:pStyle w:val="Default"/>
              <w:ind w:right="446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No</w:t>
            </w:r>
          </w:p>
        </w:tc>
        <w:tc>
          <w:tcPr>
            <w:tcW w:w="1435" w:type="dxa"/>
          </w:tcPr>
          <w:p w:rsidR="00F310B8" w:rsidRPr="00496DB8" w:rsidRDefault="00645B51" w:rsidP="004A59B8">
            <w:pPr>
              <w:pStyle w:val="Default"/>
              <w:ind w:right="446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No</w:t>
            </w:r>
          </w:p>
        </w:tc>
        <w:tc>
          <w:tcPr>
            <w:tcW w:w="3510" w:type="dxa"/>
          </w:tcPr>
          <w:p w:rsidR="00F310B8" w:rsidRPr="008D575B" w:rsidRDefault="00F310B8" w:rsidP="004A59B8">
            <w:pPr>
              <w:pStyle w:val="Default"/>
              <w:ind w:right="446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10B8" w:rsidRPr="00496DB8" w:rsidTr="000811C7">
        <w:tc>
          <w:tcPr>
            <w:tcW w:w="2423" w:type="dxa"/>
          </w:tcPr>
          <w:p w:rsidR="0062641C" w:rsidRDefault="0062641C" w:rsidP="00B9155A">
            <w:pPr>
              <w:pStyle w:val="Default"/>
              <w:ind w:right="446"/>
              <w:rPr>
                <w:rFonts w:asciiTheme="minorHAnsi" w:hAnsiTheme="minorHAnsi" w:cs="Calibri"/>
                <w:b/>
                <w:sz w:val="21"/>
                <w:szCs w:val="21"/>
              </w:rPr>
            </w:pPr>
          </w:p>
          <w:p w:rsidR="00FA58C8" w:rsidRPr="003318C0" w:rsidRDefault="003318C0" w:rsidP="00B9155A">
            <w:pPr>
              <w:pStyle w:val="Default"/>
              <w:ind w:right="446"/>
              <w:rPr>
                <w:rFonts w:asciiTheme="minorHAnsi" w:hAnsiTheme="minorHAnsi" w:cs="Calibri"/>
                <w:b/>
                <w:i/>
                <w:sz w:val="21"/>
                <w:szCs w:val="21"/>
              </w:rPr>
            </w:pPr>
            <w:r>
              <w:rPr>
                <w:rFonts w:asciiTheme="minorHAnsi" w:hAnsiTheme="minorHAnsi" w:cs="Calibri"/>
                <w:b/>
                <w:i/>
                <w:sz w:val="21"/>
                <w:szCs w:val="21"/>
              </w:rPr>
              <w:t>Court Manager</w:t>
            </w:r>
          </w:p>
        </w:tc>
        <w:tc>
          <w:tcPr>
            <w:tcW w:w="4417" w:type="dxa"/>
          </w:tcPr>
          <w:p w:rsidR="009F5234" w:rsidRDefault="00197D26" w:rsidP="006F0368">
            <w:pPr>
              <w:pStyle w:val="Default"/>
              <w:ind w:right="446"/>
              <w:rPr>
                <w:rFonts w:asciiTheme="minorHAnsi" w:hAnsiTheme="minorHAnsi" w:cs="Calibri"/>
                <w:sz w:val="21"/>
                <w:szCs w:val="21"/>
              </w:rPr>
            </w:pPr>
            <w:r>
              <w:rPr>
                <w:rFonts w:asciiTheme="minorHAnsi" w:hAnsiTheme="minorHAnsi" w:cs="Calibri"/>
                <w:sz w:val="21"/>
                <w:szCs w:val="21"/>
              </w:rPr>
              <w:t xml:space="preserve"> The Summer 2017 </w:t>
            </w:r>
            <w:r w:rsidR="005779F8">
              <w:rPr>
                <w:rFonts w:asciiTheme="minorHAnsi" w:hAnsiTheme="minorHAnsi" w:cs="Calibri"/>
                <w:sz w:val="21"/>
                <w:szCs w:val="21"/>
              </w:rPr>
              <w:t>(</w:t>
            </w:r>
            <w:r>
              <w:rPr>
                <w:rFonts w:asciiTheme="minorHAnsi" w:hAnsiTheme="minorHAnsi" w:cs="Calibri"/>
                <w:sz w:val="21"/>
                <w:szCs w:val="21"/>
              </w:rPr>
              <w:t>Vol. 32/2</w:t>
            </w:r>
            <w:r w:rsidR="005779F8">
              <w:rPr>
                <w:rFonts w:asciiTheme="minorHAnsi" w:hAnsiTheme="minorHAnsi" w:cs="Calibri"/>
                <w:sz w:val="21"/>
                <w:szCs w:val="21"/>
              </w:rPr>
              <w:t>)</w:t>
            </w:r>
            <w:r>
              <w:rPr>
                <w:rFonts w:asciiTheme="minorHAnsi" w:hAnsiTheme="minorHAnsi" w:cs="Calibri"/>
                <w:sz w:val="21"/>
                <w:szCs w:val="21"/>
              </w:rPr>
              <w:t xml:space="preserve"> edition of the </w:t>
            </w:r>
            <w:r>
              <w:rPr>
                <w:rFonts w:asciiTheme="minorHAnsi" w:hAnsiTheme="minorHAnsi" w:cs="Calibri"/>
                <w:i/>
                <w:sz w:val="21"/>
                <w:szCs w:val="21"/>
              </w:rPr>
              <w:t>Court Manager</w:t>
            </w:r>
            <w:r w:rsidR="003318C0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r w:rsidR="00645B51">
              <w:rPr>
                <w:rFonts w:asciiTheme="minorHAnsi" w:hAnsiTheme="minorHAnsi" w:cs="Calibri"/>
                <w:sz w:val="21"/>
                <w:szCs w:val="21"/>
              </w:rPr>
              <w:t>was</w:t>
            </w:r>
            <w:r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r w:rsidR="003318C0">
              <w:rPr>
                <w:rFonts w:asciiTheme="minorHAnsi" w:hAnsiTheme="minorHAnsi" w:cs="Calibri"/>
                <w:sz w:val="21"/>
                <w:szCs w:val="21"/>
              </w:rPr>
              <w:t>published</w:t>
            </w:r>
            <w:r w:rsidR="00645B51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r w:rsidR="005779F8">
              <w:rPr>
                <w:rFonts w:asciiTheme="minorHAnsi" w:hAnsiTheme="minorHAnsi" w:cs="Calibri"/>
                <w:sz w:val="21"/>
                <w:szCs w:val="21"/>
              </w:rPr>
              <w:t xml:space="preserve">and distributed </w:t>
            </w:r>
            <w:r w:rsidR="00645B51">
              <w:rPr>
                <w:rFonts w:asciiTheme="minorHAnsi" w:hAnsiTheme="minorHAnsi" w:cs="Calibri"/>
                <w:sz w:val="21"/>
                <w:szCs w:val="21"/>
              </w:rPr>
              <w:t>in June</w:t>
            </w:r>
            <w:r w:rsidR="003318C0">
              <w:rPr>
                <w:rFonts w:asciiTheme="minorHAnsi" w:hAnsiTheme="minorHAnsi" w:cs="Calibri"/>
                <w:sz w:val="21"/>
                <w:szCs w:val="21"/>
              </w:rPr>
              <w:t xml:space="preserve">.  A subcommittee </w:t>
            </w:r>
            <w:r w:rsidR="004B2FE3">
              <w:rPr>
                <w:rFonts w:asciiTheme="minorHAnsi" w:hAnsiTheme="minorHAnsi" w:cs="Calibri"/>
                <w:sz w:val="21"/>
                <w:szCs w:val="21"/>
              </w:rPr>
              <w:t>has been meeting regularly to plan transition to the</w:t>
            </w:r>
            <w:r w:rsidR="003318C0">
              <w:rPr>
                <w:rFonts w:asciiTheme="minorHAnsi" w:hAnsiTheme="minorHAnsi" w:cs="Calibri"/>
                <w:sz w:val="21"/>
                <w:szCs w:val="21"/>
              </w:rPr>
              <w:t xml:space="preserve"> electronic version of </w:t>
            </w:r>
            <w:r w:rsidR="003318C0">
              <w:rPr>
                <w:rFonts w:asciiTheme="minorHAnsi" w:hAnsiTheme="minorHAnsi" w:cs="Calibri"/>
                <w:i/>
                <w:sz w:val="21"/>
                <w:szCs w:val="21"/>
              </w:rPr>
              <w:t>Court Manager</w:t>
            </w:r>
            <w:r w:rsidR="004B2FE3">
              <w:rPr>
                <w:rFonts w:asciiTheme="minorHAnsi" w:hAnsiTheme="minorHAnsi" w:cs="Calibri"/>
                <w:i/>
                <w:sz w:val="21"/>
                <w:szCs w:val="21"/>
              </w:rPr>
              <w:t>.</w:t>
            </w:r>
            <w:r w:rsidR="003318C0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r w:rsidR="00645B51">
              <w:rPr>
                <w:rFonts w:asciiTheme="minorHAnsi" w:hAnsiTheme="minorHAnsi" w:cs="Calibri"/>
                <w:sz w:val="21"/>
                <w:szCs w:val="21"/>
              </w:rPr>
              <w:t xml:space="preserve">   </w:t>
            </w:r>
            <w:r w:rsidR="00FF7821">
              <w:rPr>
                <w:rFonts w:asciiTheme="minorHAnsi" w:hAnsiTheme="minorHAnsi" w:cs="Calibri"/>
                <w:sz w:val="21"/>
                <w:szCs w:val="21"/>
              </w:rPr>
              <w:t>The NCSC</w:t>
            </w:r>
            <w:r w:rsidR="006F0368">
              <w:rPr>
                <w:rFonts w:asciiTheme="minorHAnsi" w:hAnsiTheme="minorHAnsi" w:cs="Calibri"/>
                <w:sz w:val="21"/>
                <w:szCs w:val="21"/>
              </w:rPr>
              <w:t xml:space="preserve"> sought </w:t>
            </w:r>
            <w:r w:rsidR="00FF7821">
              <w:rPr>
                <w:rFonts w:asciiTheme="minorHAnsi" w:hAnsiTheme="minorHAnsi" w:cs="Calibri"/>
                <w:sz w:val="21"/>
                <w:szCs w:val="21"/>
              </w:rPr>
              <w:t xml:space="preserve">proposals from four publishers </w:t>
            </w:r>
            <w:r w:rsidR="006F0368">
              <w:rPr>
                <w:rFonts w:asciiTheme="minorHAnsi" w:hAnsiTheme="minorHAnsi" w:cs="Calibri"/>
                <w:sz w:val="21"/>
                <w:szCs w:val="21"/>
              </w:rPr>
              <w:t xml:space="preserve">to allow for a rate </w:t>
            </w:r>
            <w:r w:rsidR="00FF7821">
              <w:rPr>
                <w:rFonts w:asciiTheme="minorHAnsi" w:hAnsiTheme="minorHAnsi" w:cs="Calibri"/>
                <w:sz w:val="21"/>
                <w:szCs w:val="21"/>
              </w:rPr>
              <w:t xml:space="preserve">and features </w:t>
            </w:r>
            <w:r w:rsidR="006F0368">
              <w:rPr>
                <w:rFonts w:asciiTheme="minorHAnsi" w:hAnsiTheme="minorHAnsi" w:cs="Calibri"/>
                <w:sz w:val="21"/>
                <w:szCs w:val="21"/>
              </w:rPr>
              <w:t xml:space="preserve">comparison.  </w:t>
            </w:r>
            <w:r w:rsidR="00067A15">
              <w:rPr>
                <w:rFonts w:asciiTheme="minorHAnsi" w:hAnsiTheme="minorHAnsi" w:cs="Calibri"/>
                <w:sz w:val="21"/>
                <w:szCs w:val="21"/>
              </w:rPr>
              <w:t xml:space="preserve">The subcommittee’s recommendation is included in the materials for the board’s </w:t>
            </w:r>
            <w:r w:rsidR="009B308B">
              <w:rPr>
                <w:rFonts w:asciiTheme="minorHAnsi" w:hAnsiTheme="minorHAnsi" w:cs="Calibri"/>
                <w:sz w:val="21"/>
                <w:szCs w:val="21"/>
              </w:rPr>
              <w:t>consideration.</w:t>
            </w:r>
          </w:p>
          <w:p w:rsidR="00DE367C" w:rsidRDefault="00DE367C" w:rsidP="006F0368">
            <w:pPr>
              <w:pStyle w:val="Default"/>
              <w:ind w:right="446"/>
              <w:rPr>
                <w:rFonts w:asciiTheme="minorHAnsi" w:hAnsiTheme="minorHAnsi" w:cs="Calibri"/>
                <w:sz w:val="21"/>
                <w:szCs w:val="21"/>
              </w:rPr>
            </w:pPr>
          </w:p>
          <w:p w:rsidR="00DE367C" w:rsidRPr="003318C0" w:rsidRDefault="00DE367C" w:rsidP="0030559E">
            <w:pPr>
              <w:pStyle w:val="Default"/>
              <w:ind w:right="446"/>
              <w:rPr>
                <w:rFonts w:asciiTheme="minorHAnsi" w:hAnsiTheme="minorHAnsi" w:cs="Calibri"/>
                <w:sz w:val="21"/>
                <w:szCs w:val="21"/>
              </w:rPr>
            </w:pPr>
            <w:r>
              <w:rPr>
                <w:rFonts w:asciiTheme="minorHAnsi" w:hAnsiTheme="minorHAnsi" w:cs="Calibri"/>
                <w:sz w:val="21"/>
                <w:szCs w:val="21"/>
              </w:rPr>
              <w:t xml:space="preserve">Court Manager advertisement rates </w:t>
            </w:r>
            <w:r w:rsidR="00067A15">
              <w:rPr>
                <w:rFonts w:asciiTheme="minorHAnsi" w:hAnsiTheme="minorHAnsi" w:cs="Calibri"/>
                <w:sz w:val="21"/>
                <w:szCs w:val="21"/>
              </w:rPr>
              <w:t>will</w:t>
            </w:r>
            <w:r>
              <w:rPr>
                <w:rFonts w:asciiTheme="minorHAnsi" w:hAnsiTheme="minorHAnsi" w:cs="Calibri"/>
                <w:sz w:val="21"/>
                <w:szCs w:val="21"/>
              </w:rPr>
              <w:t xml:space="preserve"> be </w:t>
            </w:r>
            <w:r w:rsidR="00C30F03">
              <w:rPr>
                <w:rFonts w:asciiTheme="minorHAnsi" w:hAnsiTheme="minorHAnsi" w:cs="Calibri"/>
                <w:sz w:val="21"/>
                <w:szCs w:val="21"/>
              </w:rPr>
              <w:t xml:space="preserve">determined and set at the Fall Board Meeting (need to know electronic Court </w:t>
            </w:r>
            <w:r w:rsidR="00C30F03">
              <w:rPr>
                <w:rFonts w:asciiTheme="minorHAnsi" w:hAnsiTheme="minorHAnsi" w:cs="Calibri"/>
                <w:sz w:val="21"/>
                <w:szCs w:val="21"/>
              </w:rPr>
              <w:lastRenderedPageBreak/>
              <w:t xml:space="preserve">Manager plan before can research and establish rates).  </w:t>
            </w:r>
          </w:p>
        </w:tc>
        <w:tc>
          <w:tcPr>
            <w:tcW w:w="1172" w:type="dxa"/>
          </w:tcPr>
          <w:p w:rsidR="00F310B8" w:rsidRPr="00905210" w:rsidRDefault="003318C0" w:rsidP="00B9155A">
            <w:pPr>
              <w:pStyle w:val="Default"/>
              <w:ind w:right="446"/>
              <w:rPr>
                <w:rFonts w:ascii="Calibri" w:hAnsi="Calibri" w:cs="Calibri"/>
                <w:b/>
                <w:color w:val="C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C00000"/>
                <w:sz w:val="22"/>
                <w:szCs w:val="22"/>
              </w:rPr>
              <w:lastRenderedPageBreak/>
              <w:t>Yes</w:t>
            </w:r>
          </w:p>
        </w:tc>
        <w:tc>
          <w:tcPr>
            <w:tcW w:w="1173" w:type="dxa"/>
          </w:tcPr>
          <w:p w:rsidR="00F310B8" w:rsidRPr="00496DB8" w:rsidRDefault="00697ADD" w:rsidP="00B9155A">
            <w:pPr>
              <w:pStyle w:val="Default"/>
              <w:ind w:right="446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Yes</w:t>
            </w:r>
          </w:p>
        </w:tc>
        <w:tc>
          <w:tcPr>
            <w:tcW w:w="1435" w:type="dxa"/>
          </w:tcPr>
          <w:p w:rsidR="00F310B8" w:rsidRPr="00496DB8" w:rsidRDefault="00697ADD" w:rsidP="00B9155A">
            <w:pPr>
              <w:pStyle w:val="Default"/>
              <w:ind w:right="446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Yes</w:t>
            </w:r>
          </w:p>
        </w:tc>
        <w:tc>
          <w:tcPr>
            <w:tcW w:w="3510" w:type="dxa"/>
          </w:tcPr>
          <w:p w:rsidR="00067A15" w:rsidRDefault="00645B51" w:rsidP="00B9155A">
            <w:pPr>
              <w:pStyle w:val="Default"/>
              <w:ind w:right="44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Proposal for electronic </w:t>
            </w:r>
            <w:r w:rsidRPr="00645B51">
              <w:rPr>
                <w:rFonts w:ascii="Calibri" w:hAnsi="Calibri" w:cs="Calibri"/>
                <w:i/>
                <w:sz w:val="22"/>
                <w:szCs w:val="22"/>
              </w:rPr>
              <w:t>Court Manager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to be presented and discussed.  Board approval necessary to begin the electronic </w:t>
            </w:r>
            <w:r w:rsidRPr="00645B51">
              <w:rPr>
                <w:rFonts w:ascii="Calibri" w:hAnsi="Calibri" w:cs="Calibri"/>
                <w:i/>
                <w:sz w:val="22"/>
                <w:szCs w:val="22"/>
              </w:rPr>
              <w:t>Court Manager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 </w:t>
            </w:r>
          </w:p>
          <w:p w:rsidR="00067A15" w:rsidRDefault="00067A15" w:rsidP="00B9155A">
            <w:pPr>
              <w:pStyle w:val="Default"/>
              <w:ind w:right="446"/>
              <w:rPr>
                <w:rFonts w:ascii="Calibri" w:hAnsi="Calibri" w:cs="Calibri"/>
                <w:sz w:val="22"/>
                <w:szCs w:val="22"/>
              </w:rPr>
            </w:pPr>
          </w:p>
          <w:p w:rsidR="00F310B8" w:rsidRPr="008D575B" w:rsidRDefault="006F0368" w:rsidP="0002530E">
            <w:pPr>
              <w:pStyle w:val="Default"/>
              <w:ind w:right="44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Does board still want 3 electronic editions and 1 paper edition (</w:t>
            </w:r>
            <w:r w:rsidR="00955F64">
              <w:rPr>
                <w:rFonts w:ascii="Calibri" w:hAnsi="Calibri" w:cs="Calibri"/>
                <w:sz w:val="22"/>
                <w:szCs w:val="22"/>
              </w:rPr>
              <w:t>Fall/</w:t>
            </w:r>
            <w:r>
              <w:rPr>
                <w:rFonts w:ascii="Calibri" w:hAnsi="Calibri" w:cs="Calibri"/>
                <w:sz w:val="22"/>
                <w:szCs w:val="22"/>
              </w:rPr>
              <w:t>annual conference</w:t>
            </w:r>
            <w:r w:rsidR="00955F64">
              <w:rPr>
                <w:rFonts w:ascii="Calibri" w:hAnsi="Calibri" w:cs="Calibri"/>
                <w:sz w:val="22"/>
                <w:szCs w:val="22"/>
              </w:rPr>
              <w:t xml:space="preserve"> edition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)?  </w:t>
            </w:r>
          </w:p>
        </w:tc>
      </w:tr>
      <w:tr w:rsidR="00F310B8" w:rsidRPr="00496DB8" w:rsidTr="000811C7">
        <w:tc>
          <w:tcPr>
            <w:tcW w:w="2423" w:type="dxa"/>
          </w:tcPr>
          <w:p w:rsidR="0062641C" w:rsidRDefault="0062641C" w:rsidP="00507522">
            <w:pPr>
              <w:pStyle w:val="Default"/>
              <w:ind w:right="446"/>
              <w:rPr>
                <w:rFonts w:asciiTheme="minorHAnsi" w:hAnsiTheme="minorHAnsi" w:cs="Calibri"/>
                <w:b/>
                <w:sz w:val="21"/>
                <w:szCs w:val="21"/>
              </w:rPr>
            </w:pPr>
          </w:p>
          <w:p w:rsidR="00FA58C8" w:rsidRPr="009F5234" w:rsidRDefault="005F159E" w:rsidP="00507522">
            <w:pPr>
              <w:pStyle w:val="Default"/>
              <w:ind w:right="446"/>
              <w:rPr>
                <w:rFonts w:asciiTheme="minorHAnsi" w:hAnsiTheme="minorHAnsi" w:cs="Calibri"/>
                <w:b/>
                <w:sz w:val="21"/>
                <w:szCs w:val="21"/>
              </w:rPr>
            </w:pPr>
            <w:r>
              <w:rPr>
                <w:rFonts w:asciiTheme="minorHAnsi" w:hAnsiTheme="minorHAnsi" w:cs="Calibri"/>
                <w:b/>
                <w:sz w:val="21"/>
                <w:szCs w:val="21"/>
              </w:rPr>
              <w:t xml:space="preserve">Webinars </w:t>
            </w:r>
          </w:p>
        </w:tc>
        <w:tc>
          <w:tcPr>
            <w:tcW w:w="4417" w:type="dxa"/>
          </w:tcPr>
          <w:p w:rsidR="00C32002" w:rsidRDefault="005F159E" w:rsidP="00645B51">
            <w:pPr>
              <w:pStyle w:val="Default"/>
              <w:ind w:right="45"/>
              <w:rPr>
                <w:rFonts w:asciiTheme="minorHAnsi" w:hAnsiTheme="minorHAnsi" w:cs="Calibri"/>
                <w:sz w:val="21"/>
                <w:szCs w:val="21"/>
              </w:rPr>
            </w:pPr>
            <w:r>
              <w:rPr>
                <w:rFonts w:asciiTheme="minorHAnsi" w:hAnsiTheme="minorHAnsi" w:cs="Calibri"/>
                <w:sz w:val="21"/>
                <w:szCs w:val="21"/>
              </w:rPr>
              <w:t xml:space="preserve">The first webinar for 2017 </w:t>
            </w:r>
            <w:r w:rsidR="00645B51">
              <w:rPr>
                <w:rFonts w:asciiTheme="minorHAnsi" w:hAnsiTheme="minorHAnsi" w:cs="Calibri"/>
                <w:sz w:val="21"/>
                <w:szCs w:val="21"/>
              </w:rPr>
              <w:t xml:space="preserve">was on LGBTQ awareness and </w:t>
            </w:r>
            <w:r w:rsidR="004F2482">
              <w:rPr>
                <w:rFonts w:asciiTheme="minorHAnsi" w:hAnsiTheme="minorHAnsi" w:cs="Calibri"/>
                <w:sz w:val="21"/>
                <w:szCs w:val="21"/>
              </w:rPr>
              <w:t xml:space="preserve">the </w:t>
            </w:r>
            <w:r w:rsidR="00645B51">
              <w:rPr>
                <w:rFonts w:asciiTheme="minorHAnsi" w:hAnsiTheme="minorHAnsi" w:cs="Calibri"/>
                <w:sz w:val="21"/>
                <w:szCs w:val="21"/>
              </w:rPr>
              <w:t xml:space="preserve">second was on Emergency Preparedness.  Both webinars were a success.  Registration for </w:t>
            </w:r>
            <w:r w:rsidR="009B308B">
              <w:rPr>
                <w:rFonts w:asciiTheme="minorHAnsi" w:hAnsiTheme="minorHAnsi" w:cs="Calibri"/>
                <w:sz w:val="21"/>
                <w:szCs w:val="21"/>
              </w:rPr>
              <w:t>the</w:t>
            </w:r>
            <w:r w:rsidR="00C32002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r w:rsidR="00645B51">
              <w:rPr>
                <w:rFonts w:asciiTheme="minorHAnsi" w:hAnsiTheme="minorHAnsi" w:cs="Calibri"/>
                <w:sz w:val="21"/>
                <w:szCs w:val="21"/>
              </w:rPr>
              <w:t xml:space="preserve">webinars exceeded 100 participants.  </w:t>
            </w:r>
            <w:r w:rsidR="00446CAE">
              <w:rPr>
                <w:rFonts w:asciiTheme="minorHAnsi" w:hAnsiTheme="minorHAnsi" w:cs="Calibri"/>
                <w:sz w:val="21"/>
                <w:szCs w:val="21"/>
              </w:rPr>
              <w:t>Paying for</w:t>
            </w:r>
            <w:r w:rsidR="00645B51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proofErr w:type="spellStart"/>
            <w:r w:rsidR="00645B51">
              <w:rPr>
                <w:rFonts w:asciiTheme="minorHAnsi" w:hAnsiTheme="minorHAnsi" w:cs="Calibri"/>
                <w:sz w:val="21"/>
                <w:szCs w:val="21"/>
              </w:rPr>
              <w:t>GoToWebinar</w:t>
            </w:r>
            <w:proofErr w:type="spellEnd"/>
            <w:r w:rsidR="00645B51">
              <w:rPr>
                <w:rFonts w:asciiTheme="minorHAnsi" w:hAnsiTheme="minorHAnsi" w:cs="Calibri"/>
                <w:sz w:val="21"/>
                <w:szCs w:val="21"/>
              </w:rPr>
              <w:t xml:space="preserve"> service</w:t>
            </w:r>
            <w:r w:rsidR="00446CAE">
              <w:rPr>
                <w:rFonts w:asciiTheme="minorHAnsi" w:hAnsiTheme="minorHAnsi" w:cs="Calibri"/>
                <w:sz w:val="21"/>
                <w:szCs w:val="21"/>
              </w:rPr>
              <w:t>s</w:t>
            </w:r>
            <w:r w:rsidR="00645B51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r w:rsidR="00446CAE">
              <w:rPr>
                <w:rFonts w:asciiTheme="minorHAnsi" w:hAnsiTheme="minorHAnsi" w:cs="Calibri"/>
                <w:sz w:val="21"/>
                <w:szCs w:val="21"/>
              </w:rPr>
              <w:t xml:space="preserve">only </w:t>
            </w:r>
            <w:r w:rsidR="00645B51">
              <w:rPr>
                <w:rFonts w:asciiTheme="minorHAnsi" w:hAnsiTheme="minorHAnsi" w:cs="Calibri"/>
                <w:sz w:val="21"/>
                <w:szCs w:val="21"/>
              </w:rPr>
              <w:t xml:space="preserve">when there is a webinar and cancelling </w:t>
            </w:r>
            <w:r w:rsidR="00446CAE">
              <w:rPr>
                <w:rFonts w:asciiTheme="minorHAnsi" w:hAnsiTheme="minorHAnsi" w:cs="Calibri"/>
                <w:sz w:val="21"/>
                <w:szCs w:val="21"/>
              </w:rPr>
              <w:t xml:space="preserve">in between webinars </w:t>
            </w:r>
            <w:r w:rsidR="004F2482">
              <w:rPr>
                <w:rFonts w:asciiTheme="minorHAnsi" w:hAnsiTheme="minorHAnsi" w:cs="Calibri"/>
                <w:sz w:val="21"/>
                <w:szCs w:val="21"/>
              </w:rPr>
              <w:t>has been cost-effective</w:t>
            </w:r>
            <w:r w:rsidR="00645B51">
              <w:rPr>
                <w:rFonts w:asciiTheme="minorHAnsi" w:hAnsiTheme="minorHAnsi" w:cs="Calibri"/>
                <w:sz w:val="21"/>
                <w:szCs w:val="21"/>
              </w:rPr>
              <w:t xml:space="preserve">.  </w:t>
            </w:r>
          </w:p>
          <w:p w:rsidR="00C32002" w:rsidRDefault="00C32002" w:rsidP="00645B51">
            <w:pPr>
              <w:pStyle w:val="Default"/>
              <w:ind w:right="45"/>
              <w:rPr>
                <w:rFonts w:asciiTheme="minorHAnsi" w:hAnsiTheme="minorHAnsi" w:cs="Calibri"/>
                <w:sz w:val="21"/>
                <w:szCs w:val="21"/>
              </w:rPr>
            </w:pPr>
          </w:p>
          <w:p w:rsidR="00C32002" w:rsidRDefault="00B24425" w:rsidP="00645B51">
            <w:pPr>
              <w:pStyle w:val="Default"/>
              <w:ind w:right="45"/>
              <w:rPr>
                <w:rFonts w:asciiTheme="minorHAnsi" w:hAnsiTheme="minorHAnsi" w:cs="Calibri"/>
                <w:sz w:val="21"/>
                <w:szCs w:val="21"/>
              </w:rPr>
            </w:pPr>
            <w:r>
              <w:rPr>
                <w:rFonts w:asciiTheme="minorHAnsi" w:hAnsiTheme="minorHAnsi" w:cs="Calibri"/>
                <w:sz w:val="21"/>
                <w:szCs w:val="21"/>
              </w:rPr>
              <w:t xml:space="preserve">T.J. </w:t>
            </w:r>
            <w:proofErr w:type="spellStart"/>
            <w:r>
              <w:rPr>
                <w:rFonts w:asciiTheme="minorHAnsi" w:hAnsiTheme="minorHAnsi" w:cs="Calibri"/>
                <w:sz w:val="21"/>
                <w:szCs w:val="21"/>
              </w:rPr>
              <w:t>BeMent</w:t>
            </w:r>
            <w:proofErr w:type="spellEnd"/>
            <w:r>
              <w:rPr>
                <w:rFonts w:asciiTheme="minorHAnsi" w:hAnsiTheme="minorHAnsi" w:cs="Calibri"/>
                <w:sz w:val="21"/>
                <w:szCs w:val="21"/>
              </w:rPr>
              <w:t xml:space="preserve"> and Janet Cornell are scheduled to present </w:t>
            </w:r>
            <w:r w:rsidR="00BD2707">
              <w:rPr>
                <w:rFonts w:asciiTheme="minorHAnsi" w:hAnsiTheme="minorHAnsi" w:cs="Calibri"/>
                <w:sz w:val="21"/>
                <w:szCs w:val="21"/>
              </w:rPr>
              <w:t>t</w:t>
            </w:r>
            <w:r w:rsidR="005F159E">
              <w:rPr>
                <w:rFonts w:asciiTheme="minorHAnsi" w:hAnsiTheme="minorHAnsi" w:cs="Calibri"/>
                <w:sz w:val="21"/>
                <w:szCs w:val="21"/>
              </w:rPr>
              <w:t xml:space="preserve">he third webinar </w:t>
            </w:r>
            <w:r w:rsidR="00BD2707">
              <w:rPr>
                <w:rFonts w:asciiTheme="minorHAnsi" w:hAnsiTheme="minorHAnsi" w:cs="Calibri"/>
                <w:sz w:val="21"/>
                <w:szCs w:val="21"/>
              </w:rPr>
              <w:t>in</w:t>
            </w:r>
            <w:r w:rsidR="00645B51">
              <w:rPr>
                <w:rFonts w:asciiTheme="minorHAnsi" w:hAnsiTheme="minorHAnsi" w:cs="Calibri"/>
                <w:sz w:val="21"/>
                <w:szCs w:val="21"/>
              </w:rPr>
              <w:t xml:space="preserve"> September</w:t>
            </w:r>
            <w:r w:rsidR="00BD2707">
              <w:rPr>
                <w:rFonts w:asciiTheme="minorHAnsi" w:hAnsiTheme="minorHAnsi" w:cs="Calibri"/>
                <w:sz w:val="21"/>
                <w:szCs w:val="21"/>
              </w:rPr>
              <w:t>.</w:t>
            </w:r>
            <w:r w:rsidR="00645B51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r w:rsidR="00BD2707">
              <w:rPr>
                <w:rFonts w:asciiTheme="minorHAnsi" w:hAnsiTheme="minorHAnsi" w:cs="Calibri"/>
                <w:sz w:val="21"/>
                <w:szCs w:val="21"/>
              </w:rPr>
              <w:t xml:space="preserve">This webinar </w:t>
            </w:r>
            <w:r w:rsidR="005F159E">
              <w:rPr>
                <w:rFonts w:asciiTheme="minorHAnsi" w:hAnsiTheme="minorHAnsi" w:cs="Calibri"/>
                <w:sz w:val="21"/>
                <w:szCs w:val="21"/>
              </w:rPr>
              <w:t xml:space="preserve">will be a follow-up to the </w:t>
            </w:r>
            <w:r>
              <w:rPr>
                <w:rFonts w:asciiTheme="minorHAnsi" w:hAnsiTheme="minorHAnsi" w:cs="Calibri"/>
                <w:sz w:val="21"/>
                <w:szCs w:val="21"/>
              </w:rPr>
              <w:t>C</w:t>
            </w:r>
            <w:r w:rsidR="005F159E">
              <w:rPr>
                <w:rFonts w:asciiTheme="minorHAnsi" w:hAnsiTheme="minorHAnsi" w:cs="Calibri"/>
                <w:sz w:val="21"/>
                <w:szCs w:val="21"/>
              </w:rPr>
              <w:t xml:space="preserve">ourt </w:t>
            </w:r>
            <w:r>
              <w:rPr>
                <w:rFonts w:asciiTheme="minorHAnsi" w:hAnsiTheme="minorHAnsi" w:cs="Calibri"/>
                <w:sz w:val="21"/>
                <w:szCs w:val="21"/>
              </w:rPr>
              <w:t>A</w:t>
            </w:r>
            <w:r w:rsidR="005F159E">
              <w:rPr>
                <w:rFonts w:asciiTheme="minorHAnsi" w:hAnsiTheme="minorHAnsi" w:cs="Calibri"/>
                <w:sz w:val="21"/>
                <w:szCs w:val="21"/>
              </w:rPr>
              <w:t>dministrator sess</w:t>
            </w:r>
            <w:r w:rsidR="00645B51">
              <w:rPr>
                <w:rFonts w:asciiTheme="minorHAnsi" w:hAnsiTheme="minorHAnsi" w:cs="Calibri"/>
                <w:sz w:val="21"/>
                <w:szCs w:val="21"/>
              </w:rPr>
              <w:t xml:space="preserve">ion </w:t>
            </w:r>
            <w:r>
              <w:rPr>
                <w:rFonts w:asciiTheme="minorHAnsi" w:hAnsiTheme="minorHAnsi" w:cs="Calibri"/>
                <w:sz w:val="21"/>
                <w:szCs w:val="21"/>
              </w:rPr>
              <w:t xml:space="preserve">at the annual conference </w:t>
            </w:r>
            <w:r w:rsidR="00645B51">
              <w:rPr>
                <w:rFonts w:asciiTheme="minorHAnsi" w:hAnsiTheme="minorHAnsi" w:cs="Calibri"/>
                <w:sz w:val="21"/>
                <w:szCs w:val="21"/>
              </w:rPr>
              <w:t xml:space="preserve">and </w:t>
            </w:r>
            <w:r>
              <w:rPr>
                <w:rFonts w:asciiTheme="minorHAnsi" w:hAnsiTheme="minorHAnsi" w:cs="Calibri"/>
                <w:sz w:val="21"/>
                <w:szCs w:val="21"/>
              </w:rPr>
              <w:t>will cover content from the</w:t>
            </w:r>
            <w:r w:rsidR="00C32002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r w:rsidR="00645B51">
              <w:rPr>
                <w:rFonts w:asciiTheme="minorHAnsi" w:hAnsiTheme="minorHAnsi" w:cs="Calibri"/>
                <w:sz w:val="21"/>
                <w:szCs w:val="21"/>
              </w:rPr>
              <w:t>Court Administrator</w:t>
            </w:r>
            <w:r>
              <w:rPr>
                <w:rFonts w:asciiTheme="minorHAnsi" w:hAnsiTheme="minorHAnsi" w:cs="Calibri"/>
                <w:sz w:val="21"/>
                <w:szCs w:val="21"/>
              </w:rPr>
              <w:t>’s</w:t>
            </w:r>
            <w:r w:rsidR="00645B51">
              <w:rPr>
                <w:rFonts w:asciiTheme="minorHAnsi" w:hAnsiTheme="minorHAnsi" w:cs="Calibri"/>
                <w:sz w:val="21"/>
                <w:szCs w:val="21"/>
              </w:rPr>
              <w:t xml:space="preserve"> Guide</w:t>
            </w:r>
            <w:r w:rsidR="0061202F">
              <w:rPr>
                <w:rFonts w:asciiTheme="minorHAnsi" w:hAnsiTheme="minorHAnsi" w:cs="Calibri"/>
                <w:sz w:val="21"/>
                <w:szCs w:val="21"/>
              </w:rPr>
              <w:t xml:space="preserve">.  </w:t>
            </w:r>
          </w:p>
          <w:p w:rsidR="00C32002" w:rsidRDefault="00C32002" w:rsidP="00645B51">
            <w:pPr>
              <w:pStyle w:val="Default"/>
              <w:ind w:right="45"/>
              <w:rPr>
                <w:rFonts w:asciiTheme="minorHAnsi" w:hAnsiTheme="minorHAnsi" w:cs="Calibri"/>
                <w:sz w:val="21"/>
                <w:szCs w:val="21"/>
              </w:rPr>
            </w:pPr>
          </w:p>
          <w:p w:rsidR="00B243A2" w:rsidRDefault="00645B51" w:rsidP="00645B51">
            <w:pPr>
              <w:pStyle w:val="Default"/>
              <w:ind w:right="45"/>
              <w:rPr>
                <w:rFonts w:asciiTheme="minorHAnsi" w:hAnsiTheme="minorHAnsi" w:cs="Calibri"/>
                <w:sz w:val="21"/>
                <w:szCs w:val="21"/>
              </w:rPr>
            </w:pPr>
            <w:r>
              <w:rPr>
                <w:rFonts w:asciiTheme="minorHAnsi" w:hAnsiTheme="minorHAnsi" w:cs="Calibri"/>
                <w:sz w:val="21"/>
                <w:szCs w:val="21"/>
              </w:rPr>
              <w:t xml:space="preserve">The fourth webinar should take place in late November or </w:t>
            </w:r>
            <w:r w:rsidR="006623CB">
              <w:rPr>
                <w:rFonts w:asciiTheme="minorHAnsi" w:hAnsiTheme="minorHAnsi" w:cs="Calibri"/>
                <w:sz w:val="21"/>
                <w:szCs w:val="21"/>
              </w:rPr>
              <w:t xml:space="preserve">early </w:t>
            </w:r>
            <w:r>
              <w:rPr>
                <w:rFonts w:asciiTheme="minorHAnsi" w:hAnsiTheme="minorHAnsi" w:cs="Calibri"/>
                <w:sz w:val="21"/>
                <w:szCs w:val="21"/>
              </w:rPr>
              <w:t>December</w:t>
            </w:r>
            <w:r w:rsidR="005F159E">
              <w:rPr>
                <w:rFonts w:asciiTheme="minorHAnsi" w:hAnsiTheme="minorHAnsi" w:cs="Calibri"/>
                <w:sz w:val="21"/>
                <w:szCs w:val="21"/>
              </w:rPr>
              <w:t xml:space="preserve"> 2017.</w:t>
            </w:r>
            <w:r w:rsidR="00855B66">
              <w:rPr>
                <w:rFonts w:asciiTheme="minorHAnsi" w:hAnsiTheme="minorHAnsi" w:cs="Calibri"/>
                <w:sz w:val="21"/>
                <w:szCs w:val="21"/>
              </w:rPr>
              <w:t xml:space="preserve"> The Board is asked to determine the topic for the webinar.</w:t>
            </w:r>
            <w:r w:rsidR="006623CB">
              <w:rPr>
                <w:rFonts w:asciiTheme="minorHAnsi" w:hAnsiTheme="minorHAnsi" w:cs="Calibri"/>
                <w:sz w:val="21"/>
                <w:szCs w:val="21"/>
              </w:rPr>
              <w:t xml:space="preserve">  </w:t>
            </w:r>
          </w:p>
          <w:p w:rsidR="00B243A2" w:rsidRDefault="00B243A2" w:rsidP="00645B51">
            <w:pPr>
              <w:pStyle w:val="Default"/>
              <w:ind w:right="45"/>
              <w:rPr>
                <w:rFonts w:asciiTheme="minorHAnsi" w:hAnsiTheme="minorHAnsi" w:cs="Calibri"/>
                <w:sz w:val="21"/>
                <w:szCs w:val="21"/>
              </w:rPr>
            </w:pPr>
          </w:p>
          <w:p w:rsidR="007B185D" w:rsidRDefault="006623CB" w:rsidP="00645B51">
            <w:pPr>
              <w:pStyle w:val="Default"/>
              <w:ind w:right="45"/>
              <w:rPr>
                <w:rFonts w:asciiTheme="minorHAnsi" w:hAnsiTheme="minorHAnsi" w:cs="Calibri"/>
                <w:sz w:val="21"/>
                <w:szCs w:val="21"/>
              </w:rPr>
            </w:pPr>
            <w:r>
              <w:rPr>
                <w:rFonts w:asciiTheme="minorHAnsi" w:hAnsiTheme="minorHAnsi" w:cs="Calibri"/>
                <w:sz w:val="21"/>
                <w:szCs w:val="21"/>
              </w:rPr>
              <w:t xml:space="preserve">As the board considers the next webinar topic, board members are asked to consider </w:t>
            </w:r>
            <w:r w:rsidR="00E27AD3">
              <w:rPr>
                <w:rFonts w:asciiTheme="minorHAnsi" w:hAnsiTheme="minorHAnsi" w:cs="Calibri"/>
                <w:sz w:val="21"/>
                <w:szCs w:val="21"/>
              </w:rPr>
              <w:t xml:space="preserve">whether </w:t>
            </w:r>
            <w:r w:rsidR="008F00C9">
              <w:rPr>
                <w:rFonts w:asciiTheme="minorHAnsi" w:hAnsiTheme="minorHAnsi" w:cs="Calibri"/>
                <w:sz w:val="21"/>
                <w:szCs w:val="21"/>
              </w:rPr>
              <w:t xml:space="preserve">it is acceptable to duplicate </w:t>
            </w:r>
            <w:r w:rsidR="00E27AD3">
              <w:rPr>
                <w:rFonts w:asciiTheme="minorHAnsi" w:hAnsiTheme="minorHAnsi" w:cs="Calibri"/>
                <w:sz w:val="21"/>
                <w:szCs w:val="21"/>
              </w:rPr>
              <w:t xml:space="preserve">training content </w:t>
            </w:r>
            <w:r w:rsidR="00B243A2">
              <w:rPr>
                <w:rFonts w:asciiTheme="minorHAnsi" w:hAnsiTheme="minorHAnsi" w:cs="Calibri"/>
                <w:sz w:val="21"/>
                <w:szCs w:val="21"/>
              </w:rPr>
              <w:t>across forums</w:t>
            </w:r>
            <w:r w:rsidR="00E27AD3">
              <w:rPr>
                <w:rFonts w:asciiTheme="minorHAnsi" w:hAnsiTheme="minorHAnsi" w:cs="Calibri"/>
                <w:sz w:val="21"/>
                <w:szCs w:val="21"/>
              </w:rPr>
              <w:t xml:space="preserve"> (i.e., guide, conference session, webinar</w:t>
            </w:r>
            <w:r w:rsidR="00962DA4">
              <w:rPr>
                <w:rFonts w:asciiTheme="minorHAnsi" w:hAnsiTheme="minorHAnsi" w:cs="Calibri"/>
                <w:sz w:val="21"/>
                <w:szCs w:val="21"/>
              </w:rPr>
              <w:t>, Court Manager articles, etc.</w:t>
            </w:r>
            <w:r w:rsidR="00E27AD3">
              <w:rPr>
                <w:rFonts w:asciiTheme="minorHAnsi" w:hAnsiTheme="minorHAnsi" w:cs="Calibri"/>
                <w:sz w:val="21"/>
                <w:szCs w:val="21"/>
              </w:rPr>
              <w:t xml:space="preserve">) </w:t>
            </w:r>
            <w:r w:rsidR="008F00C9">
              <w:rPr>
                <w:rFonts w:asciiTheme="minorHAnsi" w:hAnsiTheme="minorHAnsi" w:cs="Calibri"/>
                <w:sz w:val="21"/>
                <w:szCs w:val="21"/>
              </w:rPr>
              <w:t>based on the thinking that each for</w:t>
            </w:r>
            <w:r w:rsidR="00B243A2">
              <w:rPr>
                <w:rFonts w:asciiTheme="minorHAnsi" w:hAnsiTheme="minorHAnsi" w:cs="Calibri"/>
                <w:sz w:val="21"/>
                <w:szCs w:val="21"/>
              </w:rPr>
              <w:t>u</w:t>
            </w:r>
            <w:r w:rsidR="008F00C9">
              <w:rPr>
                <w:rFonts w:asciiTheme="minorHAnsi" w:hAnsiTheme="minorHAnsi" w:cs="Calibri"/>
                <w:sz w:val="21"/>
                <w:szCs w:val="21"/>
              </w:rPr>
              <w:t>m may r</w:t>
            </w:r>
            <w:r w:rsidR="00B243A2">
              <w:rPr>
                <w:rFonts w:asciiTheme="minorHAnsi" w:hAnsiTheme="minorHAnsi" w:cs="Calibri"/>
                <w:sz w:val="21"/>
                <w:szCs w:val="21"/>
              </w:rPr>
              <w:t>each a different audience</w:t>
            </w:r>
            <w:r w:rsidR="00267540">
              <w:rPr>
                <w:rFonts w:asciiTheme="minorHAnsi" w:hAnsiTheme="minorHAnsi" w:cs="Calibri"/>
                <w:sz w:val="21"/>
                <w:szCs w:val="21"/>
              </w:rPr>
              <w:t xml:space="preserve">.  An alternative approach would be </w:t>
            </w:r>
            <w:r w:rsidR="00B243A2">
              <w:rPr>
                <w:rFonts w:asciiTheme="minorHAnsi" w:hAnsiTheme="minorHAnsi" w:cs="Calibri"/>
                <w:sz w:val="21"/>
                <w:szCs w:val="21"/>
              </w:rPr>
              <w:t xml:space="preserve">to </w:t>
            </w:r>
            <w:r w:rsidR="008F00C9">
              <w:rPr>
                <w:rFonts w:asciiTheme="minorHAnsi" w:hAnsiTheme="minorHAnsi" w:cs="Calibri"/>
                <w:sz w:val="21"/>
                <w:szCs w:val="21"/>
              </w:rPr>
              <w:t xml:space="preserve">ensure that when training content is scheduled for delivery </w:t>
            </w:r>
            <w:r w:rsidR="00962DA4">
              <w:rPr>
                <w:rFonts w:asciiTheme="minorHAnsi" w:hAnsiTheme="minorHAnsi" w:cs="Calibri"/>
                <w:sz w:val="21"/>
                <w:szCs w:val="21"/>
              </w:rPr>
              <w:t>via</w:t>
            </w:r>
            <w:r w:rsidR="008F00C9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r w:rsidR="00962DA4">
              <w:rPr>
                <w:rFonts w:asciiTheme="minorHAnsi" w:hAnsiTheme="minorHAnsi" w:cs="Calibri"/>
                <w:sz w:val="21"/>
                <w:szCs w:val="21"/>
              </w:rPr>
              <w:t>multiple</w:t>
            </w:r>
            <w:r w:rsidR="008F00C9">
              <w:rPr>
                <w:rFonts w:asciiTheme="minorHAnsi" w:hAnsiTheme="minorHAnsi" w:cs="Calibri"/>
                <w:sz w:val="21"/>
                <w:szCs w:val="21"/>
              </w:rPr>
              <w:t xml:space="preserve"> for</w:t>
            </w:r>
            <w:r w:rsidR="00267540">
              <w:rPr>
                <w:rFonts w:asciiTheme="minorHAnsi" w:hAnsiTheme="minorHAnsi" w:cs="Calibri"/>
                <w:sz w:val="21"/>
                <w:szCs w:val="21"/>
              </w:rPr>
              <w:t>u</w:t>
            </w:r>
            <w:r w:rsidR="008F00C9">
              <w:rPr>
                <w:rFonts w:asciiTheme="minorHAnsi" w:hAnsiTheme="minorHAnsi" w:cs="Calibri"/>
                <w:sz w:val="21"/>
                <w:szCs w:val="21"/>
              </w:rPr>
              <w:t xml:space="preserve">ms, it is done in </w:t>
            </w:r>
            <w:r w:rsidR="00267540">
              <w:rPr>
                <w:rFonts w:asciiTheme="minorHAnsi" w:hAnsiTheme="minorHAnsi" w:cs="Calibri"/>
                <w:sz w:val="21"/>
                <w:szCs w:val="21"/>
              </w:rPr>
              <w:t>a way that each subsequent presentation</w:t>
            </w:r>
            <w:r w:rsidR="008F00C9">
              <w:rPr>
                <w:rFonts w:asciiTheme="minorHAnsi" w:hAnsiTheme="minorHAnsi" w:cs="Calibri"/>
                <w:sz w:val="21"/>
                <w:szCs w:val="21"/>
              </w:rPr>
              <w:t xml:space="preserve"> is building</w:t>
            </w:r>
            <w:r w:rsidR="00A318AC">
              <w:rPr>
                <w:rFonts w:asciiTheme="minorHAnsi" w:hAnsiTheme="minorHAnsi" w:cs="Calibri"/>
                <w:sz w:val="21"/>
                <w:szCs w:val="21"/>
              </w:rPr>
              <w:t xml:space="preserve"> (expounding)</w:t>
            </w:r>
            <w:r w:rsidR="008F00C9">
              <w:rPr>
                <w:rFonts w:asciiTheme="minorHAnsi" w:hAnsiTheme="minorHAnsi" w:cs="Calibri"/>
                <w:sz w:val="21"/>
                <w:szCs w:val="21"/>
              </w:rPr>
              <w:t xml:space="preserve"> on the previous delivery.</w:t>
            </w:r>
            <w:r w:rsidR="00A318AC">
              <w:rPr>
                <w:rFonts w:asciiTheme="minorHAnsi" w:hAnsiTheme="minorHAnsi" w:cs="Calibri"/>
                <w:sz w:val="21"/>
                <w:szCs w:val="21"/>
              </w:rPr>
              <w:t xml:space="preserve">  </w:t>
            </w:r>
            <w:r w:rsidR="002104BC">
              <w:rPr>
                <w:rFonts w:asciiTheme="minorHAnsi" w:hAnsiTheme="minorHAnsi" w:cs="Calibri"/>
                <w:sz w:val="21"/>
                <w:szCs w:val="21"/>
              </w:rPr>
              <w:t>If the latter, market</w:t>
            </w:r>
            <w:r w:rsidR="00267540">
              <w:rPr>
                <w:rFonts w:asciiTheme="minorHAnsi" w:hAnsiTheme="minorHAnsi" w:cs="Calibri"/>
                <w:sz w:val="21"/>
                <w:szCs w:val="21"/>
              </w:rPr>
              <w:t xml:space="preserve">ing </w:t>
            </w:r>
            <w:r w:rsidR="00962DA4">
              <w:rPr>
                <w:rFonts w:asciiTheme="minorHAnsi" w:hAnsiTheme="minorHAnsi" w:cs="Calibri"/>
                <w:sz w:val="21"/>
                <w:szCs w:val="21"/>
              </w:rPr>
              <w:t xml:space="preserve">strategies are </w:t>
            </w:r>
            <w:r w:rsidR="00267540">
              <w:rPr>
                <w:rFonts w:asciiTheme="minorHAnsi" w:hAnsiTheme="minorHAnsi" w:cs="Calibri"/>
                <w:sz w:val="21"/>
                <w:szCs w:val="21"/>
              </w:rPr>
              <w:t xml:space="preserve">even more critical to </w:t>
            </w:r>
            <w:r w:rsidR="00B243A2">
              <w:rPr>
                <w:rFonts w:asciiTheme="minorHAnsi" w:hAnsiTheme="minorHAnsi" w:cs="Calibri"/>
                <w:sz w:val="21"/>
                <w:szCs w:val="21"/>
              </w:rPr>
              <w:t xml:space="preserve">encourage </w:t>
            </w:r>
            <w:r w:rsidR="00B243A2">
              <w:rPr>
                <w:rFonts w:asciiTheme="minorHAnsi" w:hAnsiTheme="minorHAnsi" w:cs="Calibri"/>
                <w:sz w:val="21"/>
                <w:szCs w:val="21"/>
              </w:rPr>
              <w:lastRenderedPageBreak/>
              <w:t>participation</w:t>
            </w:r>
            <w:r w:rsidR="00962DA4">
              <w:rPr>
                <w:rFonts w:asciiTheme="minorHAnsi" w:hAnsiTheme="minorHAnsi" w:cs="Calibri"/>
                <w:sz w:val="21"/>
                <w:szCs w:val="21"/>
              </w:rPr>
              <w:t xml:space="preserve"> in multiple events that cover the same topic</w:t>
            </w:r>
            <w:r w:rsidR="00B243A2">
              <w:rPr>
                <w:rFonts w:asciiTheme="minorHAnsi" w:hAnsiTheme="minorHAnsi" w:cs="Calibri"/>
                <w:sz w:val="21"/>
                <w:szCs w:val="21"/>
              </w:rPr>
              <w:t xml:space="preserve">.  </w:t>
            </w:r>
            <w:r w:rsidR="00A318AC">
              <w:rPr>
                <w:rFonts w:asciiTheme="minorHAnsi" w:hAnsiTheme="minorHAnsi" w:cs="Calibri"/>
                <w:sz w:val="21"/>
                <w:szCs w:val="21"/>
              </w:rPr>
              <w:t>This question/concern was raised by Vicky during the June Communications Committee call.</w:t>
            </w:r>
          </w:p>
          <w:p w:rsidR="00C32002" w:rsidRDefault="00C32002" w:rsidP="00645B51">
            <w:pPr>
              <w:pStyle w:val="Default"/>
              <w:ind w:right="45"/>
              <w:rPr>
                <w:rFonts w:asciiTheme="minorHAnsi" w:hAnsiTheme="minorHAnsi" w:cs="Calibri"/>
                <w:sz w:val="21"/>
                <w:szCs w:val="21"/>
              </w:rPr>
            </w:pPr>
          </w:p>
          <w:p w:rsidR="006F0368" w:rsidRDefault="006F0368" w:rsidP="00645B51">
            <w:pPr>
              <w:pStyle w:val="Default"/>
              <w:ind w:right="45"/>
              <w:rPr>
                <w:rFonts w:asciiTheme="minorHAnsi" w:hAnsiTheme="minorHAnsi" w:cs="Calibri"/>
                <w:sz w:val="21"/>
                <w:szCs w:val="21"/>
              </w:rPr>
            </w:pPr>
            <w:r>
              <w:rPr>
                <w:rFonts w:asciiTheme="minorHAnsi" w:hAnsiTheme="minorHAnsi" w:cs="Calibri"/>
                <w:sz w:val="21"/>
                <w:szCs w:val="21"/>
              </w:rPr>
              <w:t xml:space="preserve">Webinar Preparation Guide has been completed and incorporated into the Operations Manual.  </w:t>
            </w:r>
          </w:p>
          <w:p w:rsidR="006F0368" w:rsidRPr="009F5234" w:rsidRDefault="006F0368" w:rsidP="00645B51">
            <w:pPr>
              <w:pStyle w:val="Default"/>
              <w:ind w:right="45"/>
              <w:rPr>
                <w:rFonts w:asciiTheme="minorHAnsi" w:hAnsiTheme="minorHAnsi" w:cs="Calibri"/>
                <w:sz w:val="21"/>
                <w:szCs w:val="21"/>
              </w:rPr>
            </w:pPr>
          </w:p>
        </w:tc>
        <w:tc>
          <w:tcPr>
            <w:tcW w:w="1172" w:type="dxa"/>
          </w:tcPr>
          <w:p w:rsidR="00C30F03" w:rsidRDefault="00C30F03" w:rsidP="00935F79">
            <w:pPr>
              <w:pStyle w:val="Default"/>
              <w:ind w:right="446"/>
              <w:rPr>
                <w:rFonts w:ascii="Calibri" w:hAnsi="Calibri" w:cs="Calibri"/>
                <w:b/>
                <w:color w:val="C00000"/>
                <w:sz w:val="22"/>
                <w:szCs w:val="22"/>
              </w:rPr>
            </w:pPr>
          </w:p>
          <w:p w:rsidR="00F310B8" w:rsidRPr="00905210" w:rsidRDefault="005F159E" w:rsidP="00935F79">
            <w:pPr>
              <w:pStyle w:val="Default"/>
              <w:ind w:right="446"/>
              <w:rPr>
                <w:rFonts w:ascii="Calibri" w:hAnsi="Calibri" w:cs="Calibri"/>
                <w:b/>
                <w:color w:val="C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C00000"/>
                <w:sz w:val="22"/>
                <w:szCs w:val="22"/>
              </w:rPr>
              <w:t>Yes</w:t>
            </w:r>
          </w:p>
        </w:tc>
        <w:tc>
          <w:tcPr>
            <w:tcW w:w="1173" w:type="dxa"/>
          </w:tcPr>
          <w:p w:rsidR="00C30F03" w:rsidRDefault="00C30F03" w:rsidP="00935F79">
            <w:pPr>
              <w:pStyle w:val="Default"/>
              <w:ind w:right="446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310B8" w:rsidRPr="00496DB8" w:rsidRDefault="001720F2" w:rsidP="00935F79">
            <w:pPr>
              <w:pStyle w:val="Default"/>
              <w:ind w:right="446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Yes</w:t>
            </w:r>
          </w:p>
        </w:tc>
        <w:tc>
          <w:tcPr>
            <w:tcW w:w="1435" w:type="dxa"/>
          </w:tcPr>
          <w:p w:rsidR="00C30F03" w:rsidRDefault="00C30F03" w:rsidP="00935F79">
            <w:pPr>
              <w:pStyle w:val="Default"/>
              <w:ind w:right="446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310B8" w:rsidRPr="00496DB8" w:rsidRDefault="00645B51" w:rsidP="00935F79">
            <w:pPr>
              <w:pStyle w:val="Default"/>
              <w:ind w:right="446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Yes</w:t>
            </w:r>
          </w:p>
        </w:tc>
        <w:tc>
          <w:tcPr>
            <w:tcW w:w="3510" w:type="dxa"/>
          </w:tcPr>
          <w:p w:rsidR="00C30F03" w:rsidRDefault="00C30F03" w:rsidP="00935F79">
            <w:pPr>
              <w:pStyle w:val="Default"/>
              <w:ind w:right="446"/>
              <w:rPr>
                <w:rFonts w:ascii="Calibri" w:hAnsi="Calibri" w:cs="Calibri"/>
                <w:sz w:val="22"/>
                <w:szCs w:val="22"/>
              </w:rPr>
            </w:pPr>
          </w:p>
          <w:p w:rsidR="00F310B8" w:rsidRDefault="00A318AC" w:rsidP="00D35B9B">
            <w:pPr>
              <w:pStyle w:val="Default"/>
              <w:ind w:left="365" w:right="446" w:hanging="36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  <w:r>
              <w:rPr>
                <w:rFonts w:ascii="Calibri" w:hAnsi="Calibri" w:cs="Calibri"/>
                <w:sz w:val="22"/>
                <w:szCs w:val="22"/>
              </w:rPr>
              <w:tab/>
              <w:t>Determine next topic for webinar.  Possible options:</w:t>
            </w:r>
          </w:p>
          <w:p w:rsidR="00A318AC" w:rsidRDefault="00A318AC" w:rsidP="00D35B9B">
            <w:pPr>
              <w:pStyle w:val="Default"/>
              <w:ind w:left="365" w:right="446" w:hanging="365"/>
              <w:rPr>
                <w:rFonts w:ascii="Calibri" w:hAnsi="Calibri" w:cs="Calibri"/>
                <w:sz w:val="22"/>
                <w:szCs w:val="22"/>
              </w:rPr>
            </w:pPr>
          </w:p>
          <w:p w:rsidR="00645B51" w:rsidRDefault="00645B51" w:rsidP="00D35B9B">
            <w:pPr>
              <w:pStyle w:val="Default"/>
              <w:numPr>
                <w:ilvl w:val="0"/>
                <w:numId w:val="11"/>
              </w:numPr>
              <w:spacing w:after="120"/>
              <w:ind w:right="44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</w:t>
            </w:r>
            <w:r w:rsidR="00855B66">
              <w:rPr>
                <w:rFonts w:ascii="Calibri" w:hAnsi="Calibri" w:cs="Calibri"/>
                <w:sz w:val="22"/>
                <w:szCs w:val="22"/>
              </w:rPr>
              <w:t xml:space="preserve">oint </w:t>
            </w:r>
            <w:r>
              <w:rPr>
                <w:rFonts w:ascii="Calibri" w:hAnsi="Calibri" w:cs="Calibri"/>
                <w:sz w:val="22"/>
                <w:szCs w:val="22"/>
              </w:rPr>
              <w:t>T</w:t>
            </w:r>
            <w:r w:rsidR="00855B66">
              <w:rPr>
                <w:rFonts w:ascii="Calibri" w:hAnsi="Calibri" w:cs="Calibri"/>
                <w:sz w:val="22"/>
                <w:szCs w:val="22"/>
              </w:rPr>
              <w:t xml:space="preserve">echnology </w:t>
            </w:r>
            <w:r>
              <w:rPr>
                <w:rFonts w:ascii="Calibri" w:hAnsi="Calibri" w:cs="Calibri"/>
                <w:sz w:val="22"/>
                <w:szCs w:val="22"/>
              </w:rPr>
              <w:t>C</w:t>
            </w:r>
            <w:r w:rsidR="00855B66">
              <w:rPr>
                <w:rFonts w:ascii="Calibri" w:hAnsi="Calibri" w:cs="Calibri"/>
                <w:sz w:val="22"/>
                <w:szCs w:val="22"/>
              </w:rPr>
              <w:t>ommittee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F0368">
              <w:rPr>
                <w:rFonts w:ascii="Calibri" w:hAnsi="Calibri" w:cs="Calibri"/>
                <w:sz w:val="22"/>
                <w:szCs w:val="22"/>
              </w:rPr>
              <w:t>Initiatives</w:t>
            </w:r>
          </w:p>
          <w:p w:rsidR="006F0368" w:rsidRDefault="00855B66" w:rsidP="00D35B9B">
            <w:pPr>
              <w:pStyle w:val="Default"/>
              <w:numPr>
                <w:ilvl w:val="0"/>
                <w:numId w:val="11"/>
              </w:numPr>
              <w:spacing w:after="120"/>
              <w:ind w:right="44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Courts’ Response to </w:t>
            </w:r>
            <w:r w:rsidR="006F0368">
              <w:rPr>
                <w:rFonts w:ascii="Calibri" w:hAnsi="Calibri" w:cs="Calibri"/>
                <w:sz w:val="22"/>
                <w:szCs w:val="22"/>
              </w:rPr>
              <w:t xml:space="preserve">Domestic Violence </w:t>
            </w:r>
          </w:p>
          <w:p w:rsidR="006F0368" w:rsidRDefault="00A04E96" w:rsidP="00D35B9B">
            <w:pPr>
              <w:pStyle w:val="Default"/>
              <w:numPr>
                <w:ilvl w:val="0"/>
                <w:numId w:val="11"/>
              </w:numPr>
              <w:spacing w:after="120"/>
              <w:ind w:right="44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The Importance of</w:t>
            </w:r>
            <w:r w:rsidR="00C30F03">
              <w:rPr>
                <w:rFonts w:ascii="Calibri" w:hAnsi="Calibri" w:cs="Calibri"/>
                <w:sz w:val="22"/>
                <w:szCs w:val="22"/>
              </w:rPr>
              <w:t xml:space="preserve"> Plain Language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in the Courts</w:t>
            </w:r>
          </w:p>
          <w:p w:rsidR="006F0368" w:rsidRPr="008D575B" w:rsidRDefault="002104BC" w:rsidP="00D35B9B">
            <w:pPr>
              <w:pStyle w:val="Default"/>
              <w:ind w:left="365" w:right="446" w:hanging="36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  <w:r>
              <w:rPr>
                <w:rFonts w:ascii="Calibri" w:hAnsi="Calibri" w:cs="Calibri"/>
                <w:sz w:val="22"/>
                <w:szCs w:val="22"/>
              </w:rPr>
              <w:tab/>
              <w:t>Determine best practice for coordinating and managing educational content that is delivered in multiple for</w:t>
            </w:r>
            <w:r w:rsidR="006664CA">
              <w:rPr>
                <w:rFonts w:ascii="Calibri" w:hAnsi="Calibri" w:cs="Calibri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sz w:val="22"/>
                <w:szCs w:val="22"/>
              </w:rPr>
              <w:t>ms: guide, conference session, webinar</w:t>
            </w:r>
            <w:r w:rsidR="006664CA">
              <w:rPr>
                <w:rFonts w:ascii="Calibri" w:hAnsi="Calibri" w:cs="Calibri"/>
                <w:sz w:val="22"/>
                <w:szCs w:val="22"/>
              </w:rPr>
              <w:t>, Court Manager article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 </w:t>
            </w:r>
          </w:p>
        </w:tc>
      </w:tr>
      <w:tr w:rsidR="00F310B8" w:rsidRPr="00496DB8" w:rsidTr="000811C7">
        <w:tc>
          <w:tcPr>
            <w:tcW w:w="2423" w:type="dxa"/>
          </w:tcPr>
          <w:p w:rsidR="006D7FDB" w:rsidRDefault="006D7FDB" w:rsidP="00935F79">
            <w:pPr>
              <w:pStyle w:val="Default"/>
              <w:ind w:right="446"/>
              <w:rPr>
                <w:rFonts w:asciiTheme="minorHAnsi" w:hAnsiTheme="minorHAnsi" w:cs="Calibri"/>
                <w:b/>
                <w:sz w:val="21"/>
                <w:szCs w:val="21"/>
              </w:rPr>
            </w:pPr>
          </w:p>
          <w:p w:rsidR="0062641C" w:rsidRDefault="005F159E" w:rsidP="00935F79">
            <w:pPr>
              <w:pStyle w:val="Default"/>
              <w:ind w:right="446"/>
              <w:rPr>
                <w:rFonts w:asciiTheme="minorHAnsi" w:hAnsiTheme="minorHAnsi" w:cs="Calibri"/>
                <w:b/>
                <w:sz w:val="21"/>
                <w:szCs w:val="21"/>
              </w:rPr>
            </w:pPr>
            <w:r>
              <w:rPr>
                <w:rFonts w:asciiTheme="minorHAnsi" w:hAnsiTheme="minorHAnsi" w:cs="Calibri"/>
                <w:b/>
                <w:sz w:val="21"/>
                <w:szCs w:val="21"/>
              </w:rPr>
              <w:t>Website</w:t>
            </w:r>
          </w:p>
          <w:p w:rsidR="00FA58C8" w:rsidRPr="009F5234" w:rsidRDefault="00FA58C8" w:rsidP="00935F79">
            <w:pPr>
              <w:pStyle w:val="Default"/>
              <w:ind w:right="446"/>
              <w:rPr>
                <w:rFonts w:asciiTheme="minorHAnsi" w:hAnsiTheme="minorHAnsi" w:cs="Calibri"/>
                <w:b/>
                <w:sz w:val="21"/>
                <w:szCs w:val="21"/>
              </w:rPr>
            </w:pPr>
          </w:p>
        </w:tc>
        <w:tc>
          <w:tcPr>
            <w:tcW w:w="4417" w:type="dxa"/>
          </w:tcPr>
          <w:p w:rsidR="00F310B8" w:rsidRPr="009F5234" w:rsidRDefault="005F159E" w:rsidP="006F0368">
            <w:pPr>
              <w:pStyle w:val="Default"/>
              <w:ind w:right="446"/>
              <w:rPr>
                <w:rFonts w:asciiTheme="minorHAnsi" w:hAnsiTheme="minorHAnsi" w:cs="Calibri"/>
                <w:sz w:val="21"/>
                <w:szCs w:val="21"/>
              </w:rPr>
            </w:pPr>
            <w:r>
              <w:rPr>
                <w:rFonts w:asciiTheme="minorHAnsi" w:hAnsiTheme="minorHAnsi" w:cs="Calibri"/>
                <w:sz w:val="21"/>
                <w:szCs w:val="21"/>
              </w:rPr>
              <w:t xml:space="preserve">Website analysis </w:t>
            </w:r>
            <w:r w:rsidR="006F0368">
              <w:rPr>
                <w:rFonts w:asciiTheme="minorHAnsi" w:hAnsiTheme="minorHAnsi" w:cs="Calibri"/>
                <w:sz w:val="21"/>
                <w:szCs w:val="21"/>
              </w:rPr>
              <w:t>was completed.  Next steps to be determined by Board</w:t>
            </w:r>
            <w:r w:rsidR="006664CA">
              <w:rPr>
                <w:rFonts w:asciiTheme="minorHAnsi" w:hAnsiTheme="minorHAnsi" w:cs="Calibri"/>
                <w:sz w:val="21"/>
                <w:szCs w:val="21"/>
              </w:rPr>
              <w:t>.</w:t>
            </w:r>
          </w:p>
        </w:tc>
        <w:tc>
          <w:tcPr>
            <w:tcW w:w="1172" w:type="dxa"/>
          </w:tcPr>
          <w:p w:rsidR="00F310B8" w:rsidRPr="00905210" w:rsidRDefault="005F159E" w:rsidP="00935F79">
            <w:pPr>
              <w:pStyle w:val="Default"/>
              <w:ind w:right="446"/>
              <w:rPr>
                <w:rFonts w:ascii="Calibri" w:hAnsi="Calibri" w:cs="Calibri"/>
                <w:b/>
                <w:color w:val="C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C00000"/>
                <w:sz w:val="22"/>
                <w:szCs w:val="22"/>
              </w:rPr>
              <w:t>Yes</w:t>
            </w:r>
          </w:p>
        </w:tc>
        <w:tc>
          <w:tcPr>
            <w:tcW w:w="1173" w:type="dxa"/>
          </w:tcPr>
          <w:p w:rsidR="00F310B8" w:rsidRPr="00496DB8" w:rsidRDefault="001720F2" w:rsidP="00935F79">
            <w:pPr>
              <w:pStyle w:val="Default"/>
              <w:ind w:right="446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Yes</w:t>
            </w:r>
          </w:p>
        </w:tc>
        <w:tc>
          <w:tcPr>
            <w:tcW w:w="1435" w:type="dxa"/>
          </w:tcPr>
          <w:p w:rsidR="00F310B8" w:rsidRPr="00496DB8" w:rsidRDefault="00A752DD" w:rsidP="00935F79">
            <w:pPr>
              <w:pStyle w:val="Default"/>
              <w:ind w:right="446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Yes</w:t>
            </w:r>
          </w:p>
        </w:tc>
        <w:tc>
          <w:tcPr>
            <w:tcW w:w="3510" w:type="dxa"/>
          </w:tcPr>
          <w:p w:rsidR="00F310B8" w:rsidRPr="008D575B" w:rsidRDefault="0002530E" w:rsidP="00935F79">
            <w:pPr>
              <w:pStyle w:val="Default"/>
              <w:ind w:right="44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Discussion of website analysis and board’s plan for website updates</w:t>
            </w:r>
            <w:r w:rsidR="006F0368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</w:tr>
      <w:tr w:rsidR="00F310B8" w:rsidRPr="00496DB8" w:rsidTr="000811C7">
        <w:tc>
          <w:tcPr>
            <w:tcW w:w="2423" w:type="dxa"/>
          </w:tcPr>
          <w:p w:rsidR="006D7FDB" w:rsidRDefault="006D7FDB" w:rsidP="00935F79">
            <w:pPr>
              <w:pStyle w:val="Default"/>
              <w:ind w:right="446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2641C" w:rsidRDefault="005F159E" w:rsidP="00935F79">
            <w:pPr>
              <w:pStyle w:val="Default"/>
              <w:ind w:right="446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Social Media</w:t>
            </w:r>
          </w:p>
          <w:p w:rsidR="00FA58C8" w:rsidRPr="00496DB8" w:rsidRDefault="00FA58C8" w:rsidP="00935F79">
            <w:pPr>
              <w:pStyle w:val="Default"/>
              <w:ind w:right="446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417" w:type="dxa"/>
          </w:tcPr>
          <w:p w:rsidR="00F310B8" w:rsidRPr="00905210" w:rsidRDefault="005F159E" w:rsidP="00C1475B">
            <w:pPr>
              <w:pStyle w:val="Default"/>
              <w:ind w:right="44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NACM</w:t>
            </w:r>
            <w:r w:rsidR="006664CA">
              <w:rPr>
                <w:rFonts w:ascii="Calibri" w:hAnsi="Calibri" w:cs="Calibri"/>
                <w:sz w:val="22"/>
                <w:szCs w:val="22"/>
              </w:rPr>
              <w:t xml:space="preserve"> continues to market </w:t>
            </w:r>
            <w:r w:rsidR="00C1475B">
              <w:rPr>
                <w:rFonts w:ascii="Calibri" w:hAnsi="Calibri" w:cs="Calibri"/>
                <w:sz w:val="22"/>
                <w:szCs w:val="22"/>
              </w:rPr>
              <w:t>events and announcements via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social media outlets</w:t>
            </w:r>
            <w:r w:rsidR="00C1475B">
              <w:rPr>
                <w:rFonts w:ascii="Calibri" w:hAnsi="Calibri" w:cs="Calibri"/>
                <w:sz w:val="22"/>
                <w:szCs w:val="22"/>
              </w:rPr>
              <w:t>.</w:t>
            </w:r>
            <w:r w:rsidR="006F0368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172" w:type="dxa"/>
          </w:tcPr>
          <w:p w:rsidR="00F310B8" w:rsidRPr="00905210" w:rsidRDefault="005F159E" w:rsidP="00935F79">
            <w:pPr>
              <w:pStyle w:val="Default"/>
              <w:ind w:right="446"/>
              <w:rPr>
                <w:rFonts w:ascii="Calibri" w:hAnsi="Calibri" w:cs="Calibri"/>
                <w:b/>
                <w:color w:val="C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C00000"/>
                <w:sz w:val="22"/>
                <w:szCs w:val="22"/>
              </w:rPr>
              <w:t>Yes</w:t>
            </w:r>
          </w:p>
        </w:tc>
        <w:tc>
          <w:tcPr>
            <w:tcW w:w="1173" w:type="dxa"/>
          </w:tcPr>
          <w:p w:rsidR="00F310B8" w:rsidRPr="00496DB8" w:rsidRDefault="005F159E" w:rsidP="00935F79">
            <w:pPr>
              <w:pStyle w:val="Default"/>
              <w:ind w:right="446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No</w:t>
            </w:r>
          </w:p>
        </w:tc>
        <w:tc>
          <w:tcPr>
            <w:tcW w:w="1435" w:type="dxa"/>
          </w:tcPr>
          <w:p w:rsidR="00F310B8" w:rsidRPr="00496DB8" w:rsidRDefault="005F159E" w:rsidP="00935F79">
            <w:pPr>
              <w:pStyle w:val="Default"/>
              <w:ind w:right="446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No</w:t>
            </w:r>
          </w:p>
        </w:tc>
        <w:tc>
          <w:tcPr>
            <w:tcW w:w="3510" w:type="dxa"/>
          </w:tcPr>
          <w:p w:rsidR="00F310B8" w:rsidRPr="008D575B" w:rsidRDefault="00F310B8" w:rsidP="00935F79">
            <w:pPr>
              <w:pStyle w:val="Default"/>
              <w:ind w:right="446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A3A49" w:rsidRPr="00496DB8" w:rsidTr="000811C7">
        <w:tc>
          <w:tcPr>
            <w:tcW w:w="2423" w:type="dxa"/>
          </w:tcPr>
          <w:p w:rsidR="006D7FDB" w:rsidRDefault="006D7FDB" w:rsidP="00935F79">
            <w:pPr>
              <w:pStyle w:val="Default"/>
              <w:ind w:right="446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A3A49" w:rsidRPr="0002530E" w:rsidRDefault="006D7FDB" w:rsidP="00935F79">
            <w:pPr>
              <w:pStyle w:val="Default"/>
              <w:ind w:right="446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02530E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Courts’ Response to </w:t>
            </w:r>
            <w:r w:rsidR="00BA3A49" w:rsidRPr="0002530E">
              <w:rPr>
                <w:rFonts w:ascii="Calibri" w:hAnsi="Calibri" w:cs="Calibri"/>
                <w:b/>
                <w:i/>
                <w:sz w:val="22"/>
                <w:szCs w:val="22"/>
              </w:rPr>
              <w:t>Domestic Violence Guide</w:t>
            </w:r>
          </w:p>
        </w:tc>
        <w:tc>
          <w:tcPr>
            <w:tcW w:w="4417" w:type="dxa"/>
          </w:tcPr>
          <w:p w:rsidR="00BA3A49" w:rsidRDefault="00BA3A49" w:rsidP="004F4E31">
            <w:pPr>
              <w:pStyle w:val="Default"/>
              <w:ind w:right="44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Pr="0002530E">
              <w:rPr>
                <w:rFonts w:ascii="Calibri" w:hAnsi="Calibri" w:cs="Calibri"/>
                <w:i/>
                <w:sz w:val="22"/>
                <w:szCs w:val="22"/>
              </w:rPr>
              <w:t>Courts’ Response to Domestic Violence Guide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will be revised in 2017.  A </w:t>
            </w:r>
            <w:r w:rsidR="00464F34">
              <w:rPr>
                <w:rFonts w:ascii="Calibri" w:hAnsi="Calibri" w:cs="Calibri"/>
                <w:sz w:val="22"/>
                <w:szCs w:val="22"/>
              </w:rPr>
              <w:t>sub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committee </w:t>
            </w:r>
            <w:r w:rsidR="004F4E31">
              <w:rPr>
                <w:rFonts w:ascii="Calibri" w:hAnsi="Calibri" w:cs="Calibri"/>
                <w:sz w:val="22"/>
                <w:szCs w:val="22"/>
              </w:rPr>
              <w:t xml:space="preserve">has been actively working on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revisions </w:t>
            </w:r>
            <w:r w:rsidR="004F4E31">
              <w:rPr>
                <w:rFonts w:ascii="Calibri" w:hAnsi="Calibri" w:cs="Calibri"/>
                <w:sz w:val="22"/>
                <w:szCs w:val="22"/>
              </w:rPr>
              <w:t>to the guide</w:t>
            </w:r>
            <w:r w:rsidR="006F0368">
              <w:rPr>
                <w:rFonts w:ascii="Calibri" w:hAnsi="Calibri" w:cs="Calibri"/>
                <w:sz w:val="22"/>
                <w:szCs w:val="22"/>
              </w:rPr>
              <w:t>.  The guide should be completed by September 2017.  Julie Dybas leads the revision committee</w:t>
            </w:r>
            <w:r w:rsidR="004F4E31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172" w:type="dxa"/>
          </w:tcPr>
          <w:p w:rsidR="00BA3A49" w:rsidRDefault="00BA3A49" w:rsidP="00935F79">
            <w:pPr>
              <w:pStyle w:val="Default"/>
              <w:ind w:right="446"/>
              <w:rPr>
                <w:rFonts w:ascii="Calibri" w:hAnsi="Calibri" w:cs="Calibri"/>
                <w:b/>
                <w:color w:val="C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C00000"/>
                <w:sz w:val="22"/>
                <w:szCs w:val="22"/>
              </w:rPr>
              <w:t>Yes</w:t>
            </w:r>
          </w:p>
        </w:tc>
        <w:tc>
          <w:tcPr>
            <w:tcW w:w="1173" w:type="dxa"/>
          </w:tcPr>
          <w:p w:rsidR="00BA3A49" w:rsidRDefault="00BA3A49" w:rsidP="00935F79">
            <w:pPr>
              <w:pStyle w:val="Default"/>
              <w:ind w:right="446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No </w:t>
            </w:r>
          </w:p>
        </w:tc>
        <w:tc>
          <w:tcPr>
            <w:tcW w:w="1435" w:type="dxa"/>
          </w:tcPr>
          <w:p w:rsidR="00BA3A49" w:rsidRDefault="00BA3A49" w:rsidP="00935F79">
            <w:pPr>
              <w:pStyle w:val="Default"/>
              <w:ind w:right="446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No</w:t>
            </w:r>
          </w:p>
        </w:tc>
        <w:tc>
          <w:tcPr>
            <w:tcW w:w="3510" w:type="dxa"/>
          </w:tcPr>
          <w:p w:rsidR="00BA3A49" w:rsidRPr="008D575B" w:rsidRDefault="00BA3A49" w:rsidP="00935F79">
            <w:pPr>
              <w:pStyle w:val="Default"/>
              <w:ind w:right="446"/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DE367C" w:rsidRPr="00496DB8" w:rsidTr="000811C7">
        <w:tc>
          <w:tcPr>
            <w:tcW w:w="2423" w:type="dxa"/>
          </w:tcPr>
          <w:p w:rsidR="00DE367C" w:rsidRDefault="00DE367C" w:rsidP="00DE367C">
            <w:pPr>
              <w:pStyle w:val="Default"/>
              <w:ind w:right="446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2018 Guide</w:t>
            </w:r>
          </w:p>
        </w:tc>
        <w:tc>
          <w:tcPr>
            <w:tcW w:w="4417" w:type="dxa"/>
          </w:tcPr>
          <w:p w:rsidR="00DE367C" w:rsidRDefault="00DE367C" w:rsidP="00DE367C">
            <w:pPr>
              <w:pStyle w:val="Default"/>
              <w:ind w:right="44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Communications Committee will begin discussing possible guides for 2018.  A decision by the board will be sought at the Fall Board Meeting.  </w:t>
            </w:r>
          </w:p>
        </w:tc>
        <w:tc>
          <w:tcPr>
            <w:tcW w:w="1172" w:type="dxa"/>
          </w:tcPr>
          <w:p w:rsidR="00DE367C" w:rsidRDefault="00DE367C" w:rsidP="00DE367C">
            <w:pPr>
              <w:pStyle w:val="Default"/>
              <w:ind w:right="446"/>
              <w:rPr>
                <w:rFonts w:ascii="Calibri" w:hAnsi="Calibri" w:cs="Calibri"/>
                <w:b/>
                <w:color w:val="C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C00000"/>
                <w:sz w:val="22"/>
                <w:szCs w:val="22"/>
              </w:rPr>
              <w:t>Yes</w:t>
            </w:r>
          </w:p>
        </w:tc>
        <w:tc>
          <w:tcPr>
            <w:tcW w:w="1173" w:type="dxa"/>
          </w:tcPr>
          <w:p w:rsidR="00DE367C" w:rsidRDefault="00DE367C" w:rsidP="00DE367C">
            <w:pPr>
              <w:pStyle w:val="Default"/>
              <w:ind w:right="446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No </w:t>
            </w:r>
          </w:p>
        </w:tc>
        <w:tc>
          <w:tcPr>
            <w:tcW w:w="1435" w:type="dxa"/>
          </w:tcPr>
          <w:p w:rsidR="00DE367C" w:rsidRDefault="00DE367C" w:rsidP="00DE367C">
            <w:pPr>
              <w:pStyle w:val="Default"/>
              <w:ind w:right="446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No</w:t>
            </w:r>
          </w:p>
        </w:tc>
        <w:tc>
          <w:tcPr>
            <w:tcW w:w="3510" w:type="dxa"/>
          </w:tcPr>
          <w:p w:rsidR="00DE367C" w:rsidRPr="008D575B" w:rsidRDefault="00DE367C" w:rsidP="00DE367C">
            <w:pPr>
              <w:pStyle w:val="Default"/>
              <w:ind w:right="446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654EF" w:rsidRPr="0002530E" w:rsidRDefault="00A654EF" w:rsidP="002A2992">
      <w:pPr>
        <w:pStyle w:val="Default"/>
        <w:ind w:right="446"/>
        <w:rPr>
          <w:rFonts w:ascii="Calibri" w:hAnsi="Calibri" w:cs="Calibri"/>
          <w:b/>
          <w:sz w:val="16"/>
          <w:szCs w:val="28"/>
        </w:rPr>
      </w:pPr>
    </w:p>
    <w:p w:rsidR="00564A09" w:rsidRDefault="006B7497" w:rsidP="006B7497">
      <w:pPr>
        <w:pStyle w:val="Default"/>
        <w:ind w:left="720" w:right="446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</w:t>
      </w:r>
      <w:r w:rsidR="00F310B8" w:rsidRPr="006B7497">
        <w:rPr>
          <w:rFonts w:ascii="Calibri" w:hAnsi="Calibri" w:cs="Calibri"/>
          <w:b/>
          <w:sz w:val="22"/>
          <w:szCs w:val="22"/>
        </w:rPr>
        <w:t xml:space="preserve">ime needed </w:t>
      </w:r>
      <w:r>
        <w:rPr>
          <w:rFonts w:ascii="Calibri" w:hAnsi="Calibri" w:cs="Calibri"/>
          <w:b/>
          <w:sz w:val="22"/>
          <w:szCs w:val="22"/>
        </w:rPr>
        <w:t xml:space="preserve">at meeting </w:t>
      </w:r>
      <w:r w:rsidR="00F310B8" w:rsidRPr="006B7497">
        <w:rPr>
          <w:rFonts w:ascii="Calibri" w:hAnsi="Calibri" w:cs="Calibri"/>
          <w:b/>
          <w:sz w:val="22"/>
          <w:szCs w:val="22"/>
        </w:rPr>
        <w:t xml:space="preserve">for </w:t>
      </w:r>
      <w:r>
        <w:rPr>
          <w:rFonts w:ascii="Calibri" w:hAnsi="Calibri" w:cs="Calibri"/>
          <w:b/>
          <w:sz w:val="22"/>
          <w:szCs w:val="22"/>
        </w:rPr>
        <w:t>C</w:t>
      </w:r>
      <w:r w:rsidR="00F310B8" w:rsidRPr="006B7497">
        <w:rPr>
          <w:rFonts w:ascii="Calibri" w:hAnsi="Calibri" w:cs="Calibri"/>
          <w:b/>
          <w:sz w:val="22"/>
          <w:szCs w:val="22"/>
        </w:rPr>
        <w:t>ommittee report:</w:t>
      </w:r>
      <w:r w:rsidR="00905210">
        <w:rPr>
          <w:rFonts w:ascii="Calibri" w:hAnsi="Calibri" w:cs="Calibri"/>
          <w:b/>
          <w:sz w:val="22"/>
          <w:szCs w:val="22"/>
        </w:rPr>
        <w:tab/>
        <w:t xml:space="preserve">  </w:t>
      </w:r>
      <w:r w:rsidR="0002530E">
        <w:rPr>
          <w:rFonts w:ascii="Calibri" w:hAnsi="Calibri" w:cs="Calibri"/>
          <w:b/>
          <w:sz w:val="22"/>
          <w:szCs w:val="22"/>
        </w:rPr>
        <w:t>15-</w:t>
      </w:r>
      <w:r w:rsidR="00751747">
        <w:rPr>
          <w:rFonts w:ascii="Calibri" w:hAnsi="Calibri" w:cs="Calibri"/>
          <w:b/>
          <w:sz w:val="22"/>
          <w:szCs w:val="22"/>
        </w:rPr>
        <w:t>30</w:t>
      </w:r>
      <w:r w:rsidR="006F0368">
        <w:rPr>
          <w:rFonts w:ascii="Calibri" w:hAnsi="Calibri" w:cs="Calibri"/>
          <w:b/>
          <w:sz w:val="22"/>
          <w:szCs w:val="22"/>
        </w:rPr>
        <w:t xml:space="preserve"> minutes is needed for the electronic Court Manager</w:t>
      </w:r>
      <w:r w:rsidR="00751747">
        <w:rPr>
          <w:rFonts w:ascii="Calibri" w:hAnsi="Calibri" w:cs="Calibri"/>
          <w:b/>
          <w:sz w:val="22"/>
          <w:szCs w:val="22"/>
        </w:rPr>
        <w:t>;</w:t>
      </w:r>
      <w:r w:rsidR="006F0368">
        <w:rPr>
          <w:rFonts w:ascii="Calibri" w:hAnsi="Calibri" w:cs="Calibri"/>
          <w:b/>
          <w:sz w:val="22"/>
          <w:szCs w:val="22"/>
        </w:rPr>
        <w:t xml:space="preserve"> </w:t>
      </w:r>
      <w:r w:rsidR="004F4E31">
        <w:rPr>
          <w:rFonts w:ascii="Calibri" w:hAnsi="Calibri" w:cs="Calibri"/>
          <w:b/>
          <w:sz w:val="22"/>
          <w:szCs w:val="22"/>
        </w:rPr>
        <w:t>10</w:t>
      </w:r>
      <w:r w:rsidR="00A96484">
        <w:rPr>
          <w:rFonts w:ascii="Calibri" w:hAnsi="Calibri" w:cs="Calibri"/>
          <w:b/>
          <w:sz w:val="22"/>
          <w:szCs w:val="22"/>
        </w:rPr>
        <w:t xml:space="preserve"> minutes for webinar topic selection</w:t>
      </w:r>
      <w:r w:rsidR="00751747">
        <w:rPr>
          <w:rFonts w:ascii="Calibri" w:hAnsi="Calibri" w:cs="Calibri"/>
          <w:b/>
          <w:sz w:val="22"/>
          <w:szCs w:val="22"/>
        </w:rPr>
        <w:t xml:space="preserve"> and discussion about coordination of educational programming across multiple forums;</w:t>
      </w:r>
      <w:r w:rsidR="00A96484">
        <w:rPr>
          <w:rFonts w:ascii="Calibri" w:hAnsi="Calibri" w:cs="Calibri"/>
          <w:b/>
          <w:sz w:val="22"/>
          <w:szCs w:val="22"/>
        </w:rPr>
        <w:t xml:space="preserve"> </w:t>
      </w:r>
      <w:r w:rsidR="0002530E">
        <w:rPr>
          <w:rFonts w:ascii="Calibri" w:hAnsi="Calibri" w:cs="Calibri"/>
          <w:b/>
          <w:sz w:val="22"/>
          <w:szCs w:val="22"/>
        </w:rPr>
        <w:t>and</w:t>
      </w:r>
      <w:r w:rsidR="00A96484">
        <w:rPr>
          <w:rFonts w:ascii="Calibri" w:hAnsi="Calibri" w:cs="Calibri"/>
          <w:b/>
          <w:sz w:val="22"/>
          <w:szCs w:val="22"/>
        </w:rPr>
        <w:t xml:space="preserve"> </w:t>
      </w:r>
      <w:r w:rsidR="006F0368">
        <w:rPr>
          <w:rFonts w:ascii="Calibri" w:hAnsi="Calibri" w:cs="Calibri"/>
          <w:b/>
          <w:sz w:val="22"/>
          <w:szCs w:val="22"/>
        </w:rPr>
        <w:t xml:space="preserve">15-30 minutes for the website analysis.  </w:t>
      </w:r>
      <w:r w:rsidR="00BA3A49">
        <w:rPr>
          <w:rFonts w:ascii="Calibri" w:hAnsi="Calibri" w:cs="Calibri"/>
          <w:b/>
          <w:sz w:val="22"/>
          <w:szCs w:val="22"/>
        </w:rPr>
        <w:t xml:space="preserve">  </w:t>
      </w:r>
    </w:p>
    <w:p w:rsidR="00751747" w:rsidRPr="0002530E" w:rsidRDefault="00751747" w:rsidP="006B7497">
      <w:pPr>
        <w:pStyle w:val="Default"/>
        <w:ind w:left="720" w:right="446"/>
        <w:rPr>
          <w:rFonts w:ascii="Calibri" w:hAnsi="Calibri" w:cs="Calibri"/>
          <w:b/>
          <w:sz w:val="16"/>
          <w:szCs w:val="22"/>
        </w:rPr>
      </w:pPr>
    </w:p>
    <w:p w:rsidR="006B7497" w:rsidRPr="006B7497" w:rsidRDefault="006B7497" w:rsidP="006B7497">
      <w:pPr>
        <w:pStyle w:val="Default"/>
        <w:ind w:left="720" w:right="446"/>
        <w:rPr>
          <w:rFonts w:ascii="Calibri" w:hAnsi="Calibri" w:cs="Calibri"/>
          <w:b/>
          <w:sz w:val="22"/>
          <w:szCs w:val="22"/>
        </w:rPr>
      </w:pPr>
      <w:r w:rsidRPr="006B7497">
        <w:rPr>
          <w:rFonts w:ascii="Calibri" w:hAnsi="Calibri" w:cs="Calibri"/>
          <w:b/>
          <w:sz w:val="22"/>
          <w:szCs w:val="22"/>
        </w:rPr>
        <w:t xml:space="preserve">Submitted </w:t>
      </w:r>
      <w:r w:rsidR="00025171">
        <w:rPr>
          <w:rFonts w:ascii="Calibri" w:hAnsi="Calibri" w:cs="Calibri"/>
          <w:b/>
          <w:sz w:val="22"/>
          <w:szCs w:val="22"/>
        </w:rPr>
        <w:t>b</w:t>
      </w:r>
      <w:r w:rsidRPr="006B7497">
        <w:rPr>
          <w:rFonts w:ascii="Calibri" w:hAnsi="Calibri" w:cs="Calibri"/>
          <w:b/>
          <w:sz w:val="22"/>
          <w:szCs w:val="22"/>
        </w:rPr>
        <w:t>y:</w:t>
      </w:r>
      <w:r w:rsidR="00564A09" w:rsidRPr="006B7497">
        <w:rPr>
          <w:rFonts w:ascii="Calibri" w:hAnsi="Calibri" w:cs="Calibri"/>
          <w:b/>
          <w:sz w:val="22"/>
          <w:szCs w:val="22"/>
        </w:rPr>
        <w:t xml:space="preserve"> </w:t>
      </w:r>
      <w:r w:rsidR="00BA3A49">
        <w:rPr>
          <w:rFonts w:ascii="Calibri" w:hAnsi="Calibri" w:cs="Calibri"/>
          <w:b/>
          <w:sz w:val="22"/>
          <w:szCs w:val="22"/>
        </w:rPr>
        <w:t>Dawn Palermo</w:t>
      </w:r>
      <w:r w:rsidR="00BA3A49">
        <w:rPr>
          <w:rFonts w:ascii="Calibri" w:hAnsi="Calibri" w:cs="Calibri"/>
          <w:b/>
          <w:sz w:val="22"/>
          <w:szCs w:val="22"/>
        </w:rPr>
        <w:tab/>
      </w:r>
    </w:p>
    <w:p w:rsidR="00564A09" w:rsidRPr="0002530E" w:rsidRDefault="00564A09" w:rsidP="006B7497">
      <w:pPr>
        <w:pStyle w:val="Default"/>
        <w:ind w:left="720" w:right="446"/>
        <w:rPr>
          <w:rFonts w:ascii="Calibri" w:hAnsi="Calibri" w:cs="Calibri"/>
          <w:b/>
          <w:sz w:val="12"/>
          <w:szCs w:val="22"/>
        </w:rPr>
      </w:pPr>
    </w:p>
    <w:p w:rsidR="006B7497" w:rsidRPr="006B7497" w:rsidRDefault="006B7497" w:rsidP="006B7497">
      <w:pPr>
        <w:pStyle w:val="Default"/>
        <w:ind w:left="720" w:right="446"/>
        <w:rPr>
          <w:rFonts w:ascii="Calibri" w:hAnsi="Calibri" w:cs="Calibri"/>
          <w:b/>
          <w:sz w:val="22"/>
          <w:szCs w:val="22"/>
        </w:rPr>
      </w:pPr>
      <w:r w:rsidRPr="006B7497">
        <w:rPr>
          <w:rFonts w:ascii="Calibri" w:hAnsi="Calibri" w:cs="Calibri"/>
          <w:b/>
          <w:sz w:val="22"/>
          <w:szCs w:val="22"/>
        </w:rPr>
        <w:t>Date:</w:t>
      </w:r>
      <w:r w:rsidR="00025171" w:rsidRPr="00025171">
        <w:rPr>
          <w:rFonts w:ascii="Calibri" w:hAnsi="Calibri" w:cs="Calibri"/>
          <w:b/>
          <w:sz w:val="22"/>
          <w:szCs w:val="22"/>
        </w:rPr>
        <w:t xml:space="preserve"> </w:t>
      </w:r>
      <w:r w:rsidR="00025171">
        <w:rPr>
          <w:rFonts w:ascii="Calibri" w:hAnsi="Calibri" w:cs="Calibri"/>
          <w:b/>
          <w:sz w:val="22"/>
          <w:szCs w:val="22"/>
        </w:rPr>
        <w:tab/>
      </w:r>
      <w:r w:rsidR="00025171">
        <w:rPr>
          <w:rFonts w:ascii="Calibri" w:hAnsi="Calibri" w:cs="Calibri"/>
          <w:b/>
          <w:sz w:val="22"/>
          <w:szCs w:val="22"/>
        </w:rPr>
        <w:tab/>
      </w:r>
      <w:r w:rsidR="0002530E">
        <w:rPr>
          <w:rFonts w:ascii="Calibri" w:hAnsi="Calibri" w:cs="Calibri"/>
          <w:b/>
          <w:sz w:val="22"/>
          <w:szCs w:val="22"/>
        </w:rPr>
        <w:t>June 13</w:t>
      </w:r>
      <w:r w:rsidR="00BA3A49">
        <w:rPr>
          <w:rFonts w:ascii="Calibri" w:hAnsi="Calibri" w:cs="Calibri"/>
          <w:b/>
          <w:sz w:val="22"/>
          <w:szCs w:val="22"/>
        </w:rPr>
        <w:t>, 2017</w:t>
      </w:r>
    </w:p>
    <w:sectPr w:rsidR="006B7497" w:rsidRPr="006B7497" w:rsidSect="00AC5CB5">
      <w:footerReference w:type="default" r:id="rId10"/>
      <w:pgSz w:w="15840" w:h="12240" w:orient="landscape"/>
      <w:pgMar w:top="1440" w:right="576" w:bottom="1152" w:left="245" w:header="72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E88" w:rsidRDefault="00C85E88" w:rsidP="003B2BA6">
      <w:r>
        <w:separator/>
      </w:r>
    </w:p>
  </w:endnote>
  <w:endnote w:type="continuationSeparator" w:id="0">
    <w:p w:rsidR="00C85E88" w:rsidRDefault="00C85E88" w:rsidP="003B2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NKDI M+ Times">
    <w:altName w:val="Times New Roman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065645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A2992" w:rsidRDefault="002A2992">
            <w:pPr>
              <w:pStyle w:val="Footer"/>
              <w:jc w:val="right"/>
            </w:pPr>
            <w:r w:rsidRPr="002A2992">
              <w:rPr>
                <w:rFonts w:asciiTheme="minorHAnsi" w:hAnsiTheme="minorHAnsi"/>
                <w:sz w:val="22"/>
                <w:szCs w:val="22"/>
              </w:rPr>
              <w:t xml:space="preserve">Page </w:t>
            </w:r>
            <w:r w:rsidRPr="002A299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/>
            </w:r>
            <w:r w:rsidRPr="002A299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PAGE </w:instrText>
            </w:r>
            <w:r w:rsidRPr="002A299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1720F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3</w:t>
            </w:r>
            <w:r w:rsidRPr="002A299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2A2992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r w:rsidRPr="002A299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/>
            </w:r>
            <w:r w:rsidRPr="002A299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NUMPAGES  </w:instrText>
            </w:r>
            <w:r w:rsidRPr="002A299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1720F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3</w:t>
            </w:r>
            <w:r w:rsidRPr="002A299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2A2992" w:rsidRDefault="002A29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E88" w:rsidRDefault="00C85E88" w:rsidP="003B2BA6">
      <w:r>
        <w:separator/>
      </w:r>
    </w:p>
  </w:footnote>
  <w:footnote w:type="continuationSeparator" w:id="0">
    <w:p w:rsidR="00C85E88" w:rsidRDefault="00C85E88" w:rsidP="003B2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22ED4"/>
    <w:multiLevelType w:val="hybridMultilevel"/>
    <w:tmpl w:val="7F0C7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928D5"/>
    <w:multiLevelType w:val="hybridMultilevel"/>
    <w:tmpl w:val="535C4800"/>
    <w:lvl w:ilvl="0" w:tplc="B9906268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D11F7E"/>
    <w:multiLevelType w:val="hybridMultilevel"/>
    <w:tmpl w:val="03FC2F00"/>
    <w:lvl w:ilvl="0" w:tplc="3A4C0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F3CCE"/>
    <w:multiLevelType w:val="hybridMultilevel"/>
    <w:tmpl w:val="5CDCE206"/>
    <w:lvl w:ilvl="0" w:tplc="225A334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4E33D3"/>
    <w:multiLevelType w:val="hybridMultilevel"/>
    <w:tmpl w:val="A4783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A5D4D"/>
    <w:multiLevelType w:val="hybridMultilevel"/>
    <w:tmpl w:val="33D86388"/>
    <w:lvl w:ilvl="0" w:tplc="F9EA24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178C3"/>
    <w:multiLevelType w:val="hybridMultilevel"/>
    <w:tmpl w:val="8F22A156"/>
    <w:lvl w:ilvl="0" w:tplc="277E69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FC442F"/>
    <w:multiLevelType w:val="hybridMultilevel"/>
    <w:tmpl w:val="E5D837AE"/>
    <w:lvl w:ilvl="0" w:tplc="15FCC2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24ED2"/>
    <w:multiLevelType w:val="hybridMultilevel"/>
    <w:tmpl w:val="134C9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CD0393"/>
    <w:multiLevelType w:val="hybridMultilevel"/>
    <w:tmpl w:val="1750B552"/>
    <w:lvl w:ilvl="0" w:tplc="2EFE44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6102F"/>
    <w:multiLevelType w:val="hybridMultilevel"/>
    <w:tmpl w:val="F4D090C6"/>
    <w:lvl w:ilvl="0" w:tplc="A230B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7"/>
  </w:num>
  <w:num w:numId="5">
    <w:abstractNumId w:val="6"/>
  </w:num>
  <w:num w:numId="6">
    <w:abstractNumId w:val="3"/>
  </w:num>
  <w:num w:numId="7">
    <w:abstractNumId w:val="9"/>
  </w:num>
  <w:num w:numId="8">
    <w:abstractNumId w:val="5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BA6"/>
    <w:rsid w:val="00025171"/>
    <w:rsid w:val="0002530E"/>
    <w:rsid w:val="00061BAC"/>
    <w:rsid w:val="00065D9C"/>
    <w:rsid w:val="0006766A"/>
    <w:rsid w:val="00067A15"/>
    <w:rsid w:val="000811C7"/>
    <w:rsid w:val="000B101F"/>
    <w:rsid w:val="001720F2"/>
    <w:rsid w:val="00197945"/>
    <w:rsid w:val="00197D26"/>
    <w:rsid w:val="002104BC"/>
    <w:rsid w:val="002366A6"/>
    <w:rsid w:val="00252875"/>
    <w:rsid w:val="00267540"/>
    <w:rsid w:val="002A2992"/>
    <w:rsid w:val="0030559E"/>
    <w:rsid w:val="003200EA"/>
    <w:rsid w:val="003318C0"/>
    <w:rsid w:val="00362CB7"/>
    <w:rsid w:val="003B2BA6"/>
    <w:rsid w:val="00446CAE"/>
    <w:rsid w:val="004577CC"/>
    <w:rsid w:val="00464F34"/>
    <w:rsid w:val="00496DB8"/>
    <w:rsid w:val="004A2265"/>
    <w:rsid w:val="004A59B8"/>
    <w:rsid w:val="004A7522"/>
    <w:rsid w:val="004B2FE3"/>
    <w:rsid w:val="004E3E78"/>
    <w:rsid w:val="004F2482"/>
    <w:rsid w:val="004F4E31"/>
    <w:rsid w:val="00507522"/>
    <w:rsid w:val="00544F36"/>
    <w:rsid w:val="0056001F"/>
    <w:rsid w:val="00564A09"/>
    <w:rsid w:val="005779F8"/>
    <w:rsid w:val="00584FB3"/>
    <w:rsid w:val="005A0C51"/>
    <w:rsid w:val="005F159E"/>
    <w:rsid w:val="0061202F"/>
    <w:rsid w:val="0062641C"/>
    <w:rsid w:val="00645B51"/>
    <w:rsid w:val="006623CB"/>
    <w:rsid w:val="00662C7A"/>
    <w:rsid w:val="006664CA"/>
    <w:rsid w:val="00685E3A"/>
    <w:rsid w:val="00686999"/>
    <w:rsid w:val="00697ADD"/>
    <w:rsid w:val="006A66EE"/>
    <w:rsid w:val="006B7497"/>
    <w:rsid w:val="006D3E74"/>
    <w:rsid w:val="006D7FDB"/>
    <w:rsid w:val="006E4FB4"/>
    <w:rsid w:val="006E65DC"/>
    <w:rsid w:val="006F0368"/>
    <w:rsid w:val="00710293"/>
    <w:rsid w:val="00710578"/>
    <w:rsid w:val="00751747"/>
    <w:rsid w:val="00773598"/>
    <w:rsid w:val="007A60A6"/>
    <w:rsid w:val="007B185D"/>
    <w:rsid w:val="008267E6"/>
    <w:rsid w:val="00855B66"/>
    <w:rsid w:val="008B11DA"/>
    <w:rsid w:val="008D0056"/>
    <w:rsid w:val="008D575B"/>
    <w:rsid w:val="008F00C9"/>
    <w:rsid w:val="00905210"/>
    <w:rsid w:val="00955F64"/>
    <w:rsid w:val="00962DA4"/>
    <w:rsid w:val="0099524E"/>
    <w:rsid w:val="00996F90"/>
    <w:rsid w:val="009B308B"/>
    <w:rsid w:val="009D0178"/>
    <w:rsid w:val="009F5234"/>
    <w:rsid w:val="00A04040"/>
    <w:rsid w:val="00A04E96"/>
    <w:rsid w:val="00A318AC"/>
    <w:rsid w:val="00A34FBC"/>
    <w:rsid w:val="00A654EF"/>
    <w:rsid w:val="00A752DD"/>
    <w:rsid w:val="00A80B82"/>
    <w:rsid w:val="00A96484"/>
    <w:rsid w:val="00AC5CB5"/>
    <w:rsid w:val="00B243A2"/>
    <w:rsid w:val="00B24425"/>
    <w:rsid w:val="00B42886"/>
    <w:rsid w:val="00B75E49"/>
    <w:rsid w:val="00B9155A"/>
    <w:rsid w:val="00BA3A49"/>
    <w:rsid w:val="00BD2707"/>
    <w:rsid w:val="00BE7A70"/>
    <w:rsid w:val="00C1475B"/>
    <w:rsid w:val="00C30F03"/>
    <w:rsid w:val="00C32002"/>
    <w:rsid w:val="00C85E88"/>
    <w:rsid w:val="00C91288"/>
    <w:rsid w:val="00CF4472"/>
    <w:rsid w:val="00D34EA1"/>
    <w:rsid w:val="00D35B9B"/>
    <w:rsid w:val="00D9202F"/>
    <w:rsid w:val="00DE367C"/>
    <w:rsid w:val="00E03F42"/>
    <w:rsid w:val="00E27AD3"/>
    <w:rsid w:val="00F17823"/>
    <w:rsid w:val="00F310B8"/>
    <w:rsid w:val="00F417DC"/>
    <w:rsid w:val="00FA58C8"/>
    <w:rsid w:val="00FE789B"/>
    <w:rsid w:val="00FF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2B3EF1-36A5-40FE-B55F-E67398A9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BA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2BA6"/>
    <w:pPr>
      <w:widowControl w:val="0"/>
      <w:autoSpaceDE w:val="0"/>
      <w:autoSpaceDN w:val="0"/>
      <w:adjustRightInd w:val="0"/>
      <w:spacing w:after="0" w:line="240" w:lineRule="auto"/>
    </w:pPr>
    <w:rPr>
      <w:rFonts w:ascii="BNKDI M+ Times" w:eastAsia="Times New Roman" w:hAnsi="BNKDI M+ Times" w:cs="BNKDI M+ Times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3B2BA6"/>
    <w:pPr>
      <w:spacing w:line="136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rsid w:val="003B2B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BA6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3B2B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BA6"/>
    <w:rPr>
      <w:rFonts w:ascii="Times" w:eastAsia="Times New Roman" w:hAnsi="Times" w:cs="Times New Roman"/>
      <w:sz w:val="24"/>
      <w:szCs w:val="20"/>
    </w:rPr>
  </w:style>
  <w:style w:type="character" w:styleId="Hyperlink">
    <w:name w:val="Hyperlink"/>
    <w:basedOn w:val="DefaultParagraphFont"/>
    <w:rsid w:val="003B2B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2BA6"/>
    <w:pPr>
      <w:ind w:left="720"/>
      <w:contextualSpacing/>
    </w:pPr>
  </w:style>
  <w:style w:type="table" w:styleId="TableGrid">
    <w:name w:val="Table Grid"/>
    <w:basedOn w:val="TableNormal"/>
    <w:uiPriority w:val="39"/>
    <w:rsid w:val="00061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7B185D"/>
    <w:rPr>
      <w:rFonts w:ascii="Segoe UI" w:eastAsiaTheme="minorHAnsi" w:hAnsi="Segoe UI" w:cstheme="minorBidi"/>
      <w:color w:val="002060"/>
      <w:sz w:val="21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185D"/>
    <w:rPr>
      <w:rFonts w:ascii="Segoe UI" w:hAnsi="Segoe UI"/>
      <w:color w:val="002060"/>
      <w:sz w:val="21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F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F90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055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559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59E"/>
    <w:rPr>
      <w:rFonts w:ascii="Times" w:eastAsia="Times New Roman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55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559E"/>
    <w:rPr>
      <w:rFonts w:ascii="Times" w:eastAsia="Times New Roman" w:hAnsi="Times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0559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0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D22AE8.87D7ECE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DD5E6-5B2B-49FF-BA26-1939AC857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Alaska Court System</Company>
  <LinksUpToDate>false</LinksUpToDate>
  <CharactersWithSpaces>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Griffith</dc:creator>
  <cp:lastModifiedBy>Dawn Palermo</cp:lastModifiedBy>
  <cp:revision>4</cp:revision>
  <cp:lastPrinted>2017-06-12T16:29:00Z</cp:lastPrinted>
  <dcterms:created xsi:type="dcterms:W3CDTF">2017-06-13T13:51:00Z</dcterms:created>
  <dcterms:modified xsi:type="dcterms:W3CDTF">2017-06-26T13:50:00Z</dcterms:modified>
</cp:coreProperties>
</file>