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F" w:rsidRDefault="000B101F" w:rsidP="00065D9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EDC94" wp14:editId="42A0FFBE">
            <wp:simplePos x="0" y="0"/>
            <wp:positionH relativeFrom="column">
              <wp:posOffset>396875</wp:posOffset>
            </wp:positionH>
            <wp:positionV relativeFrom="paragraph">
              <wp:posOffset>12065</wp:posOffset>
            </wp:positionV>
            <wp:extent cx="723900" cy="698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B5" w:rsidRDefault="003B2BA6" w:rsidP="00065D9C">
      <w:pPr>
        <w:rPr>
          <w:rFonts w:ascii="Times New Roman" w:hAnsi="Times New Roman"/>
          <w:b/>
          <w:sz w:val="28"/>
          <w:szCs w:val="28"/>
        </w:rPr>
      </w:pPr>
      <w:r w:rsidRPr="00874339">
        <w:rPr>
          <w:rFonts w:ascii="Times New Roman" w:hAnsi="Times New Roman"/>
          <w:b/>
          <w:sz w:val="28"/>
          <w:szCs w:val="28"/>
        </w:rPr>
        <w:t xml:space="preserve">National Association </w:t>
      </w:r>
    </w:p>
    <w:p w:rsidR="003B2BA6" w:rsidRPr="00874339" w:rsidRDefault="00AC5CB5" w:rsidP="00AC5CB5">
      <w:pPr>
        <w:pStyle w:val="Default"/>
        <w:ind w:right="4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BA6" w:rsidRPr="00874339">
        <w:rPr>
          <w:rFonts w:ascii="Times New Roman" w:hAnsi="Times New Roman" w:cs="Times New Roman"/>
          <w:b/>
          <w:sz w:val="28"/>
          <w:szCs w:val="28"/>
        </w:rPr>
        <w:t xml:space="preserve">for Court Management   </w:t>
      </w:r>
      <w:r w:rsidR="003B2BA6">
        <w:rPr>
          <w:rFonts w:ascii="Times New Roman" w:hAnsi="Times New Roman" w:cs="Times New Roman"/>
          <w:b/>
          <w:sz w:val="28"/>
          <w:szCs w:val="28"/>
        </w:rPr>
        <w:tab/>
      </w:r>
      <w:r w:rsidR="003B2BA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10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CB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B2BA6" w:rsidRPr="00874339">
        <w:rPr>
          <w:rFonts w:ascii="Times New Roman" w:hAnsi="Times New Roman" w:cs="Times New Roman"/>
          <w:b/>
          <w:i/>
          <w:sz w:val="28"/>
          <w:szCs w:val="28"/>
        </w:rPr>
        <w:t>trengthening Court Professionals</w:t>
      </w:r>
    </w:p>
    <w:p w:rsidR="003B2BA6" w:rsidRDefault="000B101F" w:rsidP="003B2BA6">
      <w:pPr>
        <w:pStyle w:val="Default"/>
        <w:ind w:right="446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3BFA57" wp14:editId="04FFB9CB">
                <wp:simplePos x="0" y="0"/>
                <wp:positionH relativeFrom="column">
                  <wp:posOffset>282575</wp:posOffset>
                </wp:positionH>
                <wp:positionV relativeFrom="paragraph">
                  <wp:posOffset>167640</wp:posOffset>
                </wp:positionV>
                <wp:extent cx="897255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0AC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3.2pt" to="72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" strokeweight="2.25pt">
                <v:stroke linestyle="thinThin"/>
              </v:line>
            </w:pict>
          </mc:Fallback>
        </mc:AlternateContent>
      </w:r>
    </w:p>
    <w:p w:rsidR="00065D9C" w:rsidRPr="003F06CB" w:rsidRDefault="00065D9C" w:rsidP="003B2BA6">
      <w:pPr>
        <w:pStyle w:val="Default"/>
        <w:ind w:right="446"/>
        <w:jc w:val="center"/>
        <w:rPr>
          <w:rFonts w:ascii="Calibri" w:hAnsi="Calibri" w:cs="Calibri"/>
          <w:b/>
          <w:szCs w:val="28"/>
        </w:rPr>
      </w:pPr>
    </w:p>
    <w:p w:rsidR="002A2992" w:rsidRDefault="003B2BA6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  <w:r w:rsidRPr="00065D9C">
        <w:rPr>
          <w:rFonts w:ascii="Calibri" w:hAnsi="Calibri" w:cs="Calibri"/>
          <w:b/>
          <w:sz w:val="26"/>
          <w:szCs w:val="28"/>
        </w:rPr>
        <w:t xml:space="preserve">Committee </w:t>
      </w:r>
      <w:r w:rsidR="002A2992">
        <w:rPr>
          <w:rFonts w:ascii="Calibri" w:hAnsi="Calibri" w:cs="Calibri"/>
          <w:b/>
          <w:sz w:val="26"/>
          <w:szCs w:val="28"/>
        </w:rPr>
        <w:t xml:space="preserve">Progress </w:t>
      </w:r>
      <w:r w:rsidRPr="00065D9C">
        <w:rPr>
          <w:rFonts w:ascii="Calibri" w:hAnsi="Calibri" w:cs="Calibri"/>
          <w:b/>
          <w:sz w:val="26"/>
          <w:szCs w:val="28"/>
        </w:rPr>
        <w:t>Report Form</w:t>
      </w:r>
      <w:r w:rsidR="002A2992">
        <w:rPr>
          <w:rFonts w:ascii="Calibri" w:hAnsi="Calibri" w:cs="Calibri"/>
          <w:b/>
          <w:sz w:val="26"/>
          <w:szCs w:val="28"/>
        </w:rPr>
        <w:t xml:space="preserve"> – 201</w:t>
      </w:r>
      <w:r w:rsidR="005F3AC4">
        <w:rPr>
          <w:rFonts w:ascii="Calibri" w:hAnsi="Calibri" w:cs="Calibri"/>
          <w:b/>
          <w:sz w:val="26"/>
          <w:szCs w:val="28"/>
        </w:rPr>
        <w:t>7</w:t>
      </w:r>
      <w:r w:rsidR="002A2992">
        <w:rPr>
          <w:rFonts w:ascii="Calibri" w:hAnsi="Calibri" w:cs="Calibri"/>
          <w:b/>
          <w:sz w:val="26"/>
          <w:szCs w:val="28"/>
        </w:rPr>
        <w:t>-201</w:t>
      </w:r>
      <w:r w:rsidR="005F3AC4">
        <w:rPr>
          <w:rFonts w:ascii="Calibri" w:hAnsi="Calibri" w:cs="Calibri"/>
          <w:b/>
          <w:sz w:val="26"/>
          <w:szCs w:val="28"/>
        </w:rPr>
        <w:t>8</w:t>
      </w:r>
    </w:p>
    <w:p w:rsidR="005F3AC4" w:rsidRDefault="005F3AC4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  <w:r>
        <w:rPr>
          <w:rFonts w:ascii="Calibri" w:hAnsi="Calibri" w:cs="Calibri"/>
          <w:b/>
          <w:sz w:val="26"/>
          <w:szCs w:val="28"/>
        </w:rPr>
        <w:t xml:space="preserve">Committee: </w:t>
      </w:r>
      <w:r w:rsidR="00B0118F">
        <w:rPr>
          <w:rFonts w:ascii="Calibri" w:hAnsi="Calibri" w:cs="Calibri"/>
          <w:b/>
          <w:sz w:val="26"/>
          <w:szCs w:val="28"/>
          <w:u w:val="single"/>
        </w:rPr>
        <w:tab/>
      </w:r>
      <w:r w:rsidR="00B0118F">
        <w:rPr>
          <w:rFonts w:ascii="Calibri" w:hAnsi="Calibri" w:cs="Calibri"/>
          <w:b/>
          <w:sz w:val="26"/>
          <w:szCs w:val="28"/>
          <w:u w:val="single"/>
        </w:rPr>
        <w:tab/>
        <w:t>Communications</w:t>
      </w:r>
      <w:r w:rsidR="00B0118F">
        <w:rPr>
          <w:rFonts w:ascii="Calibri" w:hAnsi="Calibri" w:cs="Calibri"/>
          <w:b/>
          <w:sz w:val="26"/>
          <w:szCs w:val="28"/>
          <w:u w:val="single"/>
        </w:rPr>
        <w:tab/>
      </w:r>
      <w:r w:rsidR="00B0118F">
        <w:rPr>
          <w:rFonts w:ascii="Calibri" w:hAnsi="Calibri" w:cs="Calibri"/>
          <w:b/>
          <w:sz w:val="26"/>
          <w:szCs w:val="28"/>
          <w:u w:val="single"/>
        </w:rPr>
        <w:tab/>
      </w:r>
    </w:p>
    <w:p w:rsidR="00564A09" w:rsidRPr="00910DEE" w:rsidRDefault="00564A09" w:rsidP="003B2BA6">
      <w:pPr>
        <w:pStyle w:val="Default"/>
        <w:ind w:right="446"/>
        <w:jc w:val="center"/>
        <w:rPr>
          <w:rFonts w:ascii="Calibri" w:hAnsi="Calibri" w:cs="Calibri"/>
          <w:b/>
          <w:sz w:val="2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600"/>
        <w:gridCol w:w="2514"/>
        <w:gridCol w:w="2678"/>
      </w:tblGrid>
      <w:tr w:rsidR="00A654EF" w:rsidRPr="00A654EF" w:rsidTr="00025171">
        <w:trPr>
          <w:jc w:val="center"/>
        </w:trPr>
        <w:tc>
          <w:tcPr>
            <w:tcW w:w="805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Due Date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A654EF" w:rsidRPr="00A654EF" w:rsidRDefault="00A654EF" w:rsidP="00D939CA">
            <w:pPr>
              <w:pStyle w:val="Default"/>
              <w:ind w:right="-40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Submission Date</w:t>
            </w: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B805A0" w:rsidRDefault="00A654EF" w:rsidP="00061BAC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B805A0">
              <w:rPr>
                <w:rFonts w:ascii="Calibri" w:hAnsi="Calibri" w:cs="Calibri"/>
                <w:sz w:val="22"/>
                <w:szCs w:val="22"/>
              </w:rPr>
              <w:t>Fall Progress Report</w:t>
            </w:r>
          </w:p>
        </w:tc>
        <w:tc>
          <w:tcPr>
            <w:tcW w:w="2514" w:type="dxa"/>
          </w:tcPr>
          <w:p w:rsidR="00A654EF" w:rsidRPr="00B805A0" w:rsidRDefault="005F3AC4" w:rsidP="00D34EA1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B805A0">
              <w:rPr>
                <w:rFonts w:ascii="Calibri" w:hAnsi="Calibri" w:cs="Calibri"/>
                <w:sz w:val="22"/>
                <w:szCs w:val="22"/>
              </w:rPr>
              <w:t>September 5, 2017</w:t>
            </w:r>
          </w:p>
        </w:tc>
        <w:tc>
          <w:tcPr>
            <w:tcW w:w="2678" w:type="dxa"/>
          </w:tcPr>
          <w:p w:rsidR="00A654EF" w:rsidRPr="00B805A0" w:rsidRDefault="00A654EF" w:rsidP="00D939CA">
            <w:pPr>
              <w:pStyle w:val="Default"/>
              <w:ind w:right="-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B805A0" w:rsidRDefault="00B805A0" w:rsidP="00A654EF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05A0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:rsidR="00A654EF" w:rsidRPr="00B805A0" w:rsidRDefault="00A654EF" w:rsidP="00D34EA1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B805A0">
              <w:rPr>
                <w:rFonts w:ascii="Calibri" w:hAnsi="Calibri" w:cs="Calibri"/>
                <w:b/>
                <w:sz w:val="22"/>
                <w:szCs w:val="22"/>
              </w:rPr>
              <w:t>Midyear Progress Report</w:t>
            </w:r>
          </w:p>
        </w:tc>
        <w:tc>
          <w:tcPr>
            <w:tcW w:w="2514" w:type="dxa"/>
          </w:tcPr>
          <w:p w:rsidR="00A654EF" w:rsidRPr="00B805A0" w:rsidRDefault="00A654EF" w:rsidP="006A66EE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B805A0">
              <w:rPr>
                <w:rFonts w:ascii="Calibri" w:hAnsi="Calibri" w:cs="Calibri"/>
                <w:b/>
                <w:sz w:val="22"/>
                <w:szCs w:val="22"/>
              </w:rPr>
              <w:t xml:space="preserve">January </w:t>
            </w:r>
            <w:r w:rsidR="005F3AC4" w:rsidRPr="00B805A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805A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B805A0">
              <w:rPr>
                <w:rFonts w:ascii="Calibri" w:hAnsi="Calibri" w:cs="Calibri"/>
                <w:b/>
                <w:sz w:val="22"/>
                <w:szCs w:val="22"/>
              </w:rPr>
              <w:t>, 201</w:t>
            </w:r>
            <w:r w:rsidR="005F3AC4" w:rsidRPr="00B805A0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678" w:type="dxa"/>
          </w:tcPr>
          <w:p w:rsidR="00A654EF" w:rsidRPr="001E31D8" w:rsidRDefault="00B0118F" w:rsidP="00D939CA">
            <w:pPr>
              <w:pStyle w:val="Default"/>
              <w:ind w:right="-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1/5/18</w:t>
            </w:r>
            <w:r w:rsidR="00A82C1D">
              <w:rPr>
                <w:rFonts w:ascii="Calibri" w:hAnsi="Calibri" w:cs="Calibri"/>
                <w:sz w:val="22"/>
                <w:szCs w:val="22"/>
              </w:rPr>
              <w:t>, Updated</w:t>
            </w:r>
            <w:r w:rsidR="00DA5642">
              <w:rPr>
                <w:rFonts w:ascii="Calibri" w:hAnsi="Calibri" w:cs="Calibri"/>
                <w:sz w:val="22"/>
                <w:szCs w:val="22"/>
              </w:rPr>
              <w:t xml:space="preserve"> 1/26/18</w:t>
            </w: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1E31D8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5F3AC4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5F3AC4">
              <w:rPr>
                <w:rFonts w:ascii="Calibri" w:hAnsi="Calibri" w:cs="Calibri"/>
                <w:sz w:val="22"/>
                <w:szCs w:val="22"/>
              </w:rPr>
              <w:t>Annual Progress Report</w:t>
            </w:r>
          </w:p>
        </w:tc>
        <w:tc>
          <w:tcPr>
            <w:tcW w:w="2514" w:type="dxa"/>
          </w:tcPr>
          <w:p w:rsidR="00A654EF" w:rsidRPr="005F3AC4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5F3AC4"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F3AC4">
              <w:rPr>
                <w:rFonts w:ascii="Calibri" w:hAnsi="Calibri" w:cs="Calibri"/>
                <w:sz w:val="22"/>
                <w:szCs w:val="22"/>
              </w:rPr>
              <w:t>20</w:t>
            </w:r>
            <w:r w:rsidRPr="005F3AC4">
              <w:rPr>
                <w:rFonts w:ascii="Calibri" w:hAnsi="Calibri" w:cs="Calibri"/>
                <w:sz w:val="22"/>
                <w:szCs w:val="22"/>
              </w:rPr>
              <w:t>, 201</w:t>
            </w:r>
            <w:r w:rsidR="005F3A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78" w:type="dxa"/>
          </w:tcPr>
          <w:p w:rsidR="00A654EF" w:rsidRPr="00A654EF" w:rsidRDefault="00A654EF" w:rsidP="00D939CA">
            <w:pPr>
              <w:pStyle w:val="Default"/>
              <w:ind w:right="-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2992" w:rsidRPr="00910DEE" w:rsidRDefault="002A2992" w:rsidP="003B2BA6">
      <w:pPr>
        <w:pStyle w:val="Default"/>
        <w:ind w:right="446"/>
        <w:rPr>
          <w:rFonts w:ascii="Calibri" w:hAnsi="Calibri" w:cs="Calibri"/>
          <w:b/>
          <w:sz w:val="22"/>
          <w:szCs w:val="28"/>
        </w:rPr>
      </w:pPr>
    </w:p>
    <w:tbl>
      <w:tblPr>
        <w:tblStyle w:val="TableGrid"/>
        <w:tblW w:w="14013" w:type="dxa"/>
        <w:tblInd w:w="625" w:type="dxa"/>
        <w:tblLayout w:type="fixed"/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63"/>
        <w:gridCol w:w="5490"/>
        <w:gridCol w:w="1350"/>
        <w:gridCol w:w="1262"/>
        <w:gridCol w:w="1253"/>
        <w:gridCol w:w="2795"/>
      </w:tblGrid>
      <w:tr w:rsidR="00C43EF5" w:rsidRPr="00496DB8" w:rsidTr="003A04F5">
        <w:trPr>
          <w:tblHeader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C13789">
            <w:pPr>
              <w:pStyle w:val="Default"/>
              <w:ind w:right="32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</w:p>
        </w:tc>
        <w:tc>
          <w:tcPr>
            <w:tcW w:w="5490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584FB3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tatus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F310B8" w:rsidRPr="00905210" w:rsidRDefault="00F310B8" w:rsidP="00C43EF5">
            <w:pPr>
              <w:pStyle w:val="Default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Strategic Priority?</w:t>
            </w:r>
          </w:p>
          <w:p w:rsidR="00F310B8" w:rsidRPr="00496DB8" w:rsidRDefault="00F310B8" w:rsidP="00C43EF5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(Yes/No)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Discussion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Board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0811C7">
            <w:pPr>
              <w:pStyle w:val="Default"/>
              <w:ind w:right="1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to discussion or action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describe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>what needed</w:t>
            </w:r>
          </w:p>
        </w:tc>
      </w:tr>
      <w:tr w:rsidR="00C43EF5" w:rsidRPr="005B6FBB" w:rsidTr="003A04F5">
        <w:tc>
          <w:tcPr>
            <w:tcW w:w="1863" w:type="dxa"/>
          </w:tcPr>
          <w:p w:rsidR="00FA58C8" w:rsidRPr="00041AE1" w:rsidRDefault="00B0118F" w:rsidP="006E012C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Court Manager</w:t>
            </w:r>
          </w:p>
        </w:tc>
        <w:tc>
          <w:tcPr>
            <w:tcW w:w="5490" w:type="dxa"/>
            <w:vAlign w:val="center"/>
          </w:tcPr>
          <w:p w:rsidR="00C43EF5" w:rsidRPr="00041AE1" w:rsidRDefault="00B0118F" w:rsidP="00C17284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First </w:t>
            </w:r>
            <w:r w:rsidR="003601C3" w:rsidRPr="00041AE1">
              <w:rPr>
                <w:rFonts w:asciiTheme="minorHAnsi" w:hAnsiTheme="minorHAnsi"/>
                <w:sz w:val="21"/>
                <w:szCs w:val="21"/>
              </w:rPr>
              <w:t>e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lectronic </w:t>
            </w:r>
            <w:r w:rsidR="003601C3" w:rsidRPr="00041AE1">
              <w:rPr>
                <w:rFonts w:asciiTheme="minorHAnsi" w:hAnsiTheme="minorHAnsi"/>
                <w:sz w:val="21"/>
                <w:szCs w:val="21"/>
              </w:rPr>
              <w:t>e</w:t>
            </w:r>
            <w:r w:rsidR="00BF6617" w:rsidRPr="00041AE1">
              <w:rPr>
                <w:rFonts w:asciiTheme="minorHAnsi" w:hAnsiTheme="minorHAnsi"/>
                <w:sz w:val="21"/>
                <w:szCs w:val="21"/>
              </w:rPr>
              <w:t>dition developed.  Electronic Court Manager Subcommittee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F6617" w:rsidRPr="00041AE1">
              <w:rPr>
                <w:rFonts w:asciiTheme="minorHAnsi" w:hAnsiTheme="minorHAnsi"/>
                <w:sz w:val="21"/>
                <w:szCs w:val="21"/>
              </w:rPr>
              <w:t xml:space="preserve">reviewed website and </w:t>
            </w:r>
            <w:r w:rsidR="00910DEE" w:rsidRPr="00041AE1">
              <w:rPr>
                <w:rFonts w:asciiTheme="minorHAnsi" w:hAnsiTheme="minorHAnsi"/>
                <w:sz w:val="21"/>
                <w:szCs w:val="21"/>
              </w:rPr>
              <w:t xml:space="preserve">recommended </w:t>
            </w:r>
            <w:r w:rsidR="005C6F67">
              <w:rPr>
                <w:rFonts w:asciiTheme="minorHAnsi" w:hAnsiTheme="minorHAnsi"/>
                <w:sz w:val="21"/>
                <w:szCs w:val="21"/>
              </w:rPr>
              <w:t>edits</w:t>
            </w:r>
            <w:r w:rsidR="00910DEE" w:rsidRPr="00041AE1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17284">
              <w:rPr>
                <w:rFonts w:asciiTheme="minorHAnsi" w:hAnsiTheme="minorHAnsi"/>
                <w:sz w:val="21"/>
                <w:szCs w:val="21"/>
              </w:rPr>
              <w:t xml:space="preserve">President’s email announcing the electronic edition </w:t>
            </w:r>
            <w:r w:rsidR="005C6F67">
              <w:rPr>
                <w:rFonts w:asciiTheme="minorHAnsi" w:hAnsiTheme="minorHAnsi"/>
                <w:sz w:val="21"/>
                <w:szCs w:val="21"/>
              </w:rPr>
              <w:t xml:space="preserve">to be sent on </w:t>
            </w:r>
            <w:r w:rsidR="00C17284">
              <w:rPr>
                <w:rFonts w:asciiTheme="minorHAnsi" w:hAnsiTheme="minorHAnsi"/>
                <w:sz w:val="21"/>
                <w:szCs w:val="21"/>
              </w:rPr>
              <w:t>Monday, January 29</w:t>
            </w:r>
            <w:r w:rsidR="00910DEE" w:rsidRPr="00041AE1">
              <w:rPr>
                <w:rFonts w:asciiTheme="minorHAnsi" w:hAnsiTheme="minorHAnsi"/>
                <w:sz w:val="21"/>
                <w:szCs w:val="21"/>
              </w:rPr>
              <w:t>.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B6F8E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F06CB">
              <w:rPr>
                <w:rFonts w:asciiTheme="minorHAnsi" w:hAnsiTheme="minorHAnsi"/>
                <w:sz w:val="21"/>
                <w:szCs w:val="21"/>
              </w:rPr>
              <w:t xml:space="preserve">Spring edition </w:t>
            </w:r>
            <w:r w:rsidR="005C6F67">
              <w:rPr>
                <w:rFonts w:asciiTheme="minorHAnsi" w:hAnsiTheme="minorHAnsi"/>
                <w:sz w:val="21"/>
                <w:szCs w:val="21"/>
              </w:rPr>
              <w:t>will b</w:t>
            </w:r>
            <w:r w:rsidR="003F06CB">
              <w:rPr>
                <w:rFonts w:asciiTheme="minorHAnsi" w:hAnsiTheme="minorHAnsi"/>
                <w:sz w:val="21"/>
                <w:szCs w:val="21"/>
              </w:rPr>
              <w:t xml:space="preserve">e posted on March 26.  </w:t>
            </w:r>
            <w:r w:rsidR="00AB6F8E" w:rsidRPr="00041AE1">
              <w:rPr>
                <w:rFonts w:asciiTheme="minorHAnsi" w:hAnsiTheme="minorHAnsi"/>
                <w:sz w:val="21"/>
                <w:szCs w:val="21"/>
              </w:rPr>
              <w:t>A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>r</w:t>
            </w:r>
            <w:r w:rsidR="00AB6F8E" w:rsidRPr="00041AE1">
              <w:rPr>
                <w:rFonts w:asciiTheme="minorHAnsi" w:hAnsiTheme="minorHAnsi"/>
                <w:sz w:val="21"/>
                <w:szCs w:val="21"/>
              </w:rPr>
              <w:t>ticles due March 22 for summer edition.</w:t>
            </w:r>
          </w:p>
        </w:tc>
        <w:tc>
          <w:tcPr>
            <w:tcW w:w="1350" w:type="dxa"/>
          </w:tcPr>
          <w:p w:rsidR="00C43EF5" w:rsidRPr="00041AE1" w:rsidRDefault="005E22AF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No</w:t>
            </w:r>
          </w:p>
        </w:tc>
        <w:tc>
          <w:tcPr>
            <w:tcW w:w="1262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1253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2795" w:type="dxa"/>
          </w:tcPr>
          <w:p w:rsidR="00F310B8" w:rsidRPr="00041AE1" w:rsidRDefault="00F310B8" w:rsidP="00667A52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C43EF5" w:rsidRPr="005B6FBB" w:rsidTr="003A04F5">
        <w:tc>
          <w:tcPr>
            <w:tcW w:w="1863" w:type="dxa"/>
          </w:tcPr>
          <w:p w:rsidR="00FA58C8" w:rsidRPr="00041AE1" w:rsidRDefault="00B0118F" w:rsidP="00B9155A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Court Express</w:t>
            </w:r>
          </w:p>
        </w:tc>
        <w:tc>
          <w:tcPr>
            <w:tcW w:w="5490" w:type="dxa"/>
          </w:tcPr>
          <w:p w:rsidR="006F71C9" w:rsidRPr="00041AE1" w:rsidRDefault="00532388" w:rsidP="005C6F6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Articles due February 12; </w:t>
            </w:r>
            <w:r w:rsidR="005C6F67">
              <w:rPr>
                <w:rFonts w:asciiTheme="minorHAnsi" w:hAnsiTheme="minorHAnsi"/>
                <w:sz w:val="21"/>
                <w:szCs w:val="21"/>
              </w:rPr>
              <w:t xml:space="preserve">email </w:t>
            </w:r>
            <w:r w:rsidR="00E3014E" w:rsidRPr="00041AE1">
              <w:rPr>
                <w:rFonts w:asciiTheme="minorHAnsi" w:hAnsiTheme="minorHAnsi"/>
                <w:sz w:val="21"/>
                <w:szCs w:val="21"/>
              </w:rPr>
              <w:t>d</w:t>
            </w:r>
            <w:r w:rsidR="005C6F67">
              <w:rPr>
                <w:rFonts w:asciiTheme="minorHAnsi" w:hAnsiTheme="minorHAnsi"/>
                <w:sz w:val="21"/>
                <w:szCs w:val="21"/>
              </w:rPr>
              <w:t xml:space="preserve">istributed </w:t>
            </w:r>
            <w:r w:rsidR="005E22AF" w:rsidRPr="00041AE1">
              <w:rPr>
                <w:rFonts w:asciiTheme="minorHAnsi" w:hAnsiTheme="minorHAnsi"/>
                <w:sz w:val="21"/>
                <w:szCs w:val="21"/>
              </w:rPr>
              <w:t>February 28, 2018</w:t>
            </w:r>
            <w:r w:rsidR="00E3014E" w:rsidRPr="00041AE1">
              <w:rPr>
                <w:rFonts w:asciiTheme="minorHAnsi" w:hAnsiTheme="minorHAnsi"/>
                <w:sz w:val="21"/>
                <w:szCs w:val="21"/>
              </w:rPr>
              <w:t>.</w:t>
            </w:r>
            <w:r w:rsidR="005E22AF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</w:tcPr>
          <w:p w:rsidR="00C43EF5" w:rsidRPr="00041AE1" w:rsidRDefault="005E22AF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No</w:t>
            </w:r>
          </w:p>
        </w:tc>
        <w:tc>
          <w:tcPr>
            <w:tcW w:w="1262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1253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2795" w:type="dxa"/>
          </w:tcPr>
          <w:p w:rsidR="00B2118F" w:rsidRPr="00041AE1" w:rsidRDefault="00B2118F" w:rsidP="00B9155A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FD744A" w:rsidRPr="005B6FBB" w:rsidTr="003A04F5">
        <w:tc>
          <w:tcPr>
            <w:tcW w:w="1863" w:type="dxa"/>
          </w:tcPr>
          <w:p w:rsidR="00FD744A" w:rsidRPr="00041AE1" w:rsidRDefault="00B0118F" w:rsidP="00B9155A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2018 Guide</w:t>
            </w:r>
          </w:p>
        </w:tc>
        <w:tc>
          <w:tcPr>
            <w:tcW w:w="5490" w:type="dxa"/>
          </w:tcPr>
          <w:p w:rsidR="00FD744A" w:rsidRPr="00041AE1" w:rsidRDefault="005C6F67" w:rsidP="00E3014E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Plain Language is the </w:t>
            </w:r>
            <w:r w:rsidR="005E22AF" w:rsidRPr="00041AE1">
              <w:rPr>
                <w:rFonts w:asciiTheme="minorHAnsi" w:hAnsiTheme="minorHAnsi"/>
                <w:sz w:val="21"/>
                <w:szCs w:val="21"/>
              </w:rPr>
              <w:t>guide topic for</w:t>
            </w:r>
            <w:r w:rsidR="00532388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3014E" w:rsidRPr="00041AE1">
              <w:rPr>
                <w:rFonts w:asciiTheme="minorHAnsi" w:hAnsiTheme="minorHAnsi"/>
                <w:sz w:val="21"/>
                <w:szCs w:val="21"/>
              </w:rPr>
              <w:t xml:space="preserve">2018. Subcommittee Chair </w:t>
            </w:r>
            <w:r w:rsidR="005E22AF" w:rsidRPr="00041AE1">
              <w:rPr>
                <w:rFonts w:asciiTheme="minorHAnsi" w:hAnsiTheme="minorHAnsi"/>
                <w:sz w:val="21"/>
                <w:szCs w:val="21"/>
              </w:rPr>
              <w:t xml:space="preserve"> Aurora Zamora </w:t>
            </w:r>
            <w:r w:rsidR="00E3014E" w:rsidRPr="00041AE1">
              <w:rPr>
                <w:rFonts w:asciiTheme="minorHAnsi" w:hAnsiTheme="minorHAnsi"/>
                <w:sz w:val="21"/>
                <w:szCs w:val="21"/>
              </w:rPr>
              <w:t xml:space="preserve"> organized and chaired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the </w:t>
            </w:r>
            <w:r w:rsidR="00E3014E" w:rsidRPr="00041AE1">
              <w:rPr>
                <w:rFonts w:asciiTheme="minorHAnsi" w:hAnsiTheme="minorHAnsi"/>
                <w:sz w:val="21"/>
                <w:szCs w:val="21"/>
              </w:rPr>
              <w:t xml:space="preserve">first meeting on January </w:t>
            </w:r>
            <w:r w:rsidR="00313D1A" w:rsidRPr="00041AE1">
              <w:rPr>
                <w:rFonts w:asciiTheme="minorHAnsi" w:hAnsiTheme="minorHAnsi"/>
                <w:sz w:val="21"/>
                <w:szCs w:val="21"/>
              </w:rPr>
              <w:t>25.</w:t>
            </w:r>
          </w:p>
        </w:tc>
        <w:tc>
          <w:tcPr>
            <w:tcW w:w="1350" w:type="dxa"/>
          </w:tcPr>
          <w:p w:rsidR="00FD744A" w:rsidRPr="00041AE1" w:rsidRDefault="005E22AF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FD744A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1253" w:type="dxa"/>
          </w:tcPr>
          <w:p w:rsidR="00FD744A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2795" w:type="dxa"/>
          </w:tcPr>
          <w:p w:rsidR="00FD744A" w:rsidRPr="00041AE1" w:rsidRDefault="00FD744A" w:rsidP="00B9155A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C43EF5" w:rsidRPr="005B6FBB" w:rsidTr="003A04F5">
        <w:tc>
          <w:tcPr>
            <w:tcW w:w="1863" w:type="dxa"/>
          </w:tcPr>
          <w:p w:rsidR="00FA58C8" w:rsidRPr="00041AE1" w:rsidRDefault="00B0118F" w:rsidP="003A04F5">
            <w:pPr>
              <w:pStyle w:val="Default"/>
              <w:ind w:right="61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Outdated Guides</w:t>
            </w:r>
          </w:p>
        </w:tc>
        <w:tc>
          <w:tcPr>
            <w:tcW w:w="5490" w:type="dxa"/>
          </w:tcPr>
          <w:p w:rsidR="00C43EF5" w:rsidRPr="00041AE1" w:rsidRDefault="00810A00" w:rsidP="003676A0">
            <w:pPr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Committee members reviewed fo</w:t>
            </w:r>
            <w:r w:rsidR="004F12CA" w:rsidRPr="00041AE1">
              <w:rPr>
                <w:rFonts w:asciiTheme="minorHAnsi" w:hAnsiTheme="minorHAnsi"/>
                <w:sz w:val="21"/>
                <w:szCs w:val="21"/>
              </w:rPr>
              <w:t>ur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outdated guides</w:t>
            </w:r>
            <w:r w:rsidR="004F12CA" w:rsidRPr="00041AE1">
              <w:rPr>
                <w:rFonts w:asciiTheme="minorHAnsi" w:hAnsiTheme="minorHAnsi"/>
                <w:sz w:val="21"/>
                <w:szCs w:val="21"/>
              </w:rPr>
              <w:t xml:space="preserve"> (noted below)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and recommend posting the guides to an “Archived Guides” section on NACM’</w:t>
            </w:r>
            <w:r w:rsidR="00A22CA6" w:rsidRPr="00041AE1">
              <w:rPr>
                <w:rFonts w:asciiTheme="minorHAnsi" w:hAnsiTheme="minorHAnsi"/>
                <w:sz w:val="21"/>
                <w:szCs w:val="21"/>
              </w:rPr>
              <w:t xml:space="preserve">s website with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>a statement  that says something to the effect of “The following guides are</w:t>
            </w:r>
            <w:r w:rsidR="003676A0" w:rsidRPr="00041AE1">
              <w:rPr>
                <w:rFonts w:asciiTheme="minorHAnsi" w:hAnsiTheme="minorHAnsi"/>
                <w:sz w:val="21"/>
                <w:szCs w:val="21"/>
              </w:rPr>
              <w:t xml:space="preserve"> not current but are provided </w:t>
            </w:r>
            <w:r w:rsidR="00A22CA6" w:rsidRPr="00041AE1">
              <w:rPr>
                <w:rFonts w:asciiTheme="minorHAnsi" w:hAnsiTheme="minorHAnsi"/>
                <w:sz w:val="21"/>
                <w:szCs w:val="21"/>
              </w:rPr>
              <w:t xml:space="preserve">here </w:t>
            </w:r>
            <w:r w:rsidR="003676A0" w:rsidRPr="00041AE1">
              <w:rPr>
                <w:rFonts w:asciiTheme="minorHAnsi" w:hAnsiTheme="minorHAnsi"/>
                <w:sz w:val="21"/>
                <w:szCs w:val="21"/>
              </w:rPr>
              <w:t xml:space="preserve">for historical </w:t>
            </w:r>
            <w:r w:rsidR="00A22CA6" w:rsidRPr="00041AE1">
              <w:rPr>
                <w:rFonts w:asciiTheme="minorHAnsi" w:hAnsiTheme="minorHAnsi"/>
                <w:sz w:val="21"/>
                <w:szCs w:val="21"/>
              </w:rPr>
              <w:t>reference</w:t>
            </w:r>
            <w:r w:rsidR="002F63DF" w:rsidRPr="00041AE1">
              <w:rPr>
                <w:rFonts w:asciiTheme="minorHAnsi" w:hAnsiTheme="minorHAnsi"/>
                <w:sz w:val="21"/>
                <w:szCs w:val="21"/>
              </w:rPr>
              <w:t xml:space="preserve"> purposes</w:t>
            </w:r>
            <w:r w:rsidR="004F12CA" w:rsidRPr="00041AE1">
              <w:rPr>
                <w:rFonts w:asciiTheme="minorHAnsi" w:hAnsiTheme="minorHAnsi"/>
                <w:sz w:val="21"/>
                <w:szCs w:val="21"/>
              </w:rPr>
              <w:t>.”</w:t>
            </w:r>
          </w:p>
          <w:p w:rsidR="004F12CA" w:rsidRPr="003F06CB" w:rsidRDefault="004F12CA" w:rsidP="003676A0">
            <w:pPr>
              <w:rPr>
                <w:rFonts w:asciiTheme="minorHAnsi" w:hAnsiTheme="minorHAnsi"/>
                <w:sz w:val="10"/>
                <w:szCs w:val="21"/>
              </w:rPr>
            </w:pPr>
          </w:p>
          <w:p w:rsidR="004F12CA" w:rsidRPr="00041AE1" w:rsidRDefault="004F12CA" w:rsidP="00A22CA6">
            <w:pPr>
              <w:pStyle w:val="ListParagraph"/>
              <w:numPr>
                <w:ilvl w:val="0"/>
                <w:numId w:val="10"/>
              </w:numPr>
              <w:ind w:left="482" w:hanging="270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Achieving and Sustaining a Green Court</w:t>
            </w:r>
            <w:r w:rsidR="00C13789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A04F5">
              <w:rPr>
                <w:rFonts w:asciiTheme="minorHAnsi" w:hAnsiTheme="minorHAnsi"/>
                <w:sz w:val="21"/>
                <w:szCs w:val="21"/>
              </w:rPr>
              <w:t>(</w:t>
            </w:r>
            <w:r w:rsidR="00C13789" w:rsidRPr="00041AE1">
              <w:rPr>
                <w:rFonts w:asciiTheme="minorHAnsi" w:hAnsiTheme="minorHAnsi"/>
                <w:sz w:val="21"/>
                <w:szCs w:val="21"/>
              </w:rPr>
              <w:t>Danielle Rosete</w:t>
            </w:r>
            <w:r w:rsidR="003A04F5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4F12CA" w:rsidRPr="00041AE1" w:rsidRDefault="004F12CA" w:rsidP="00A22CA6">
            <w:pPr>
              <w:pStyle w:val="ListParagraph"/>
              <w:numPr>
                <w:ilvl w:val="0"/>
                <w:numId w:val="10"/>
              </w:numPr>
              <w:ind w:left="482" w:hanging="270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Business Continuity</w:t>
            </w:r>
            <w:r w:rsidR="003A04F5">
              <w:rPr>
                <w:rFonts w:asciiTheme="minorHAnsi" w:hAnsiTheme="minorHAnsi"/>
                <w:sz w:val="21"/>
                <w:szCs w:val="21"/>
              </w:rPr>
              <w:t xml:space="preserve"> (Rick)</w:t>
            </w:r>
          </w:p>
          <w:p w:rsidR="004F12CA" w:rsidRPr="00041AE1" w:rsidRDefault="004F12CA" w:rsidP="00A22CA6">
            <w:pPr>
              <w:pStyle w:val="ListParagraph"/>
              <w:numPr>
                <w:ilvl w:val="0"/>
                <w:numId w:val="10"/>
              </w:numPr>
              <w:ind w:left="482" w:hanging="270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Court Security</w:t>
            </w:r>
            <w:r w:rsidR="00C13789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A04F5">
              <w:rPr>
                <w:rFonts w:asciiTheme="minorHAnsi" w:hAnsiTheme="minorHAnsi"/>
                <w:sz w:val="21"/>
                <w:szCs w:val="21"/>
              </w:rPr>
              <w:t>(</w:t>
            </w:r>
            <w:r w:rsidR="00C13789" w:rsidRPr="00041AE1">
              <w:rPr>
                <w:rFonts w:asciiTheme="minorHAnsi" w:hAnsiTheme="minorHAnsi"/>
                <w:sz w:val="21"/>
                <w:szCs w:val="21"/>
              </w:rPr>
              <w:t>Aurora Zamora</w:t>
            </w:r>
            <w:r w:rsidR="003A04F5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4F12CA" w:rsidRPr="00041AE1" w:rsidRDefault="004F12CA" w:rsidP="00A22CA6">
            <w:pPr>
              <w:pStyle w:val="ListParagraph"/>
              <w:numPr>
                <w:ilvl w:val="0"/>
                <w:numId w:val="10"/>
              </w:numPr>
              <w:ind w:left="482" w:hanging="270"/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Verbatim Re</w:t>
            </w:r>
            <w:r w:rsidR="003A04F5">
              <w:rPr>
                <w:rFonts w:asciiTheme="minorHAnsi" w:hAnsiTheme="minorHAnsi"/>
                <w:sz w:val="21"/>
                <w:szCs w:val="21"/>
              </w:rPr>
              <w:t>cord (Alyce)</w:t>
            </w:r>
          </w:p>
        </w:tc>
        <w:tc>
          <w:tcPr>
            <w:tcW w:w="1350" w:type="dxa"/>
          </w:tcPr>
          <w:p w:rsidR="00F310B8" w:rsidRPr="00041AE1" w:rsidRDefault="005E22AF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F310B8" w:rsidRPr="00041AE1" w:rsidRDefault="005E22AF" w:rsidP="00C33FF7">
            <w:pPr>
              <w:pStyle w:val="Default"/>
              <w:ind w:right="446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2795" w:type="dxa"/>
          </w:tcPr>
          <w:p w:rsidR="00F310B8" w:rsidRPr="00041AE1" w:rsidRDefault="007C386D" w:rsidP="00611B69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Board to</w:t>
            </w:r>
            <w:r w:rsidR="002F63DF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consider approving </w:t>
            </w:r>
            <w:r w:rsidR="002F63DF" w:rsidRPr="00041AE1">
              <w:rPr>
                <w:rFonts w:asciiTheme="minorHAnsi" w:hAnsiTheme="minorHAnsi"/>
                <w:sz w:val="21"/>
                <w:szCs w:val="21"/>
              </w:rPr>
              <w:t>archival of guides and determine if an “archival” section should be created on NACM’s website.</w:t>
            </w:r>
            <w:r w:rsidR="005E22AF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DE59E6" w:rsidRPr="005B6FBB" w:rsidTr="003A04F5">
        <w:tc>
          <w:tcPr>
            <w:tcW w:w="1863" w:type="dxa"/>
          </w:tcPr>
          <w:p w:rsidR="00DE59E6" w:rsidRPr="00041AE1" w:rsidRDefault="005B6FBB" w:rsidP="00656E30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>Future Guides</w:t>
            </w:r>
          </w:p>
        </w:tc>
        <w:tc>
          <w:tcPr>
            <w:tcW w:w="5490" w:type="dxa"/>
          </w:tcPr>
          <w:p w:rsidR="005B6FBB" w:rsidRPr="00041AE1" w:rsidRDefault="00D71060" w:rsidP="005B6FBB">
            <w:pPr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Guide</w:t>
            </w:r>
            <w:r w:rsidR="00B969C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>drafted for selecting guide topics.</w:t>
            </w:r>
          </w:p>
          <w:p w:rsidR="00DE59E6" w:rsidRPr="00041AE1" w:rsidRDefault="00DE59E6">
            <w:pPr>
              <w:pStyle w:val="Default"/>
              <w:ind w:right="446"/>
              <w:rPr>
                <w:rFonts w:asciiTheme="minorHAnsi" w:hAnsiTheme="minorHAnsi" w:cs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DE59E6" w:rsidRPr="00041AE1" w:rsidRDefault="005B6FBB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DE59E6" w:rsidRPr="00041AE1" w:rsidRDefault="005B6FBB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DE59E6" w:rsidRPr="00041AE1" w:rsidRDefault="005B6FBB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2795" w:type="dxa"/>
          </w:tcPr>
          <w:p w:rsidR="00DE59E6" w:rsidRPr="00041AE1" w:rsidRDefault="00D71060" w:rsidP="00CD3DCC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Board to consider guidelines for adoption and inclusion in the Operations Manual.</w:t>
            </w:r>
            <w:r w:rsidR="005B6FBB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43EF5" w:rsidRPr="007C783C" w:rsidTr="003A04F5">
        <w:tc>
          <w:tcPr>
            <w:tcW w:w="1863" w:type="dxa"/>
          </w:tcPr>
          <w:p w:rsidR="00FA58C8" w:rsidRPr="00041AE1" w:rsidRDefault="00CD3DCC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Webinars</w:t>
            </w:r>
          </w:p>
        </w:tc>
        <w:tc>
          <w:tcPr>
            <w:tcW w:w="5490" w:type="dxa"/>
          </w:tcPr>
          <w:p w:rsidR="00CD3DCC" w:rsidRPr="00041AE1" w:rsidRDefault="00CD3DCC" w:rsidP="004F2EF6">
            <w:pPr>
              <w:spacing w:after="80"/>
              <w:ind w:left="346" w:hanging="274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1.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ab/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Civil Justice Initiative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February 28, 2pm Eastern </w:t>
            </w:r>
          </w:p>
          <w:p w:rsidR="00CD3DCC" w:rsidRPr="00041AE1" w:rsidRDefault="00CD3DCC" w:rsidP="004F2EF6">
            <w:pPr>
              <w:spacing w:after="80"/>
              <w:ind w:left="346" w:hanging="274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2.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ab/>
              <w:t xml:space="preserve">Trauma Awareness </w:t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>–</w:t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42E54">
              <w:rPr>
                <w:rFonts w:asciiTheme="minorHAnsi" w:hAnsiTheme="minorHAnsi"/>
                <w:sz w:val="21"/>
                <w:szCs w:val="21"/>
              </w:rPr>
              <w:t xml:space="preserve"> May 17, 2pm Eastern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CD3DCC" w:rsidRPr="00041AE1" w:rsidRDefault="00CD3DCC" w:rsidP="004F2EF6">
            <w:pPr>
              <w:spacing w:after="80"/>
              <w:ind w:left="346" w:hanging="274"/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3.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ab/>
              <w:t>JTC Projects –</w:t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planning to begin in Spring </w:t>
            </w:r>
          </w:p>
          <w:p w:rsidR="007B185D" w:rsidRPr="00041AE1" w:rsidRDefault="00CD3DCC" w:rsidP="004F2EF6">
            <w:pPr>
              <w:spacing w:after="80"/>
              <w:ind w:left="346" w:hanging="274"/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4.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ab/>
              <w:t>Domestic Violence Guide –</w:t>
            </w:r>
            <w:r w:rsidR="00DF1F1A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41AE1">
              <w:rPr>
                <w:rFonts w:asciiTheme="minorHAnsi" w:hAnsiTheme="minorHAnsi"/>
                <w:sz w:val="21"/>
                <w:szCs w:val="21"/>
              </w:rPr>
              <w:t xml:space="preserve"> unknown if volunteers will be available to present </w:t>
            </w:r>
          </w:p>
        </w:tc>
        <w:tc>
          <w:tcPr>
            <w:tcW w:w="1350" w:type="dxa"/>
          </w:tcPr>
          <w:p w:rsidR="00F310B8" w:rsidRPr="00041AE1" w:rsidRDefault="007C783C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F310B8" w:rsidRPr="00041AE1" w:rsidRDefault="007C783C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F310B8" w:rsidRPr="00041AE1" w:rsidRDefault="007C783C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2795" w:type="dxa"/>
          </w:tcPr>
          <w:p w:rsidR="00F310B8" w:rsidRPr="00041AE1" w:rsidRDefault="00F310B8" w:rsidP="00FC0180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8440B3" w:rsidRPr="002E0AA6" w:rsidTr="003A04F5">
        <w:tc>
          <w:tcPr>
            <w:tcW w:w="1863" w:type="dxa"/>
          </w:tcPr>
          <w:p w:rsidR="008440B3" w:rsidRPr="00041AE1" w:rsidRDefault="00E66974" w:rsidP="003A04F5">
            <w:pPr>
              <w:pStyle w:val="Default"/>
              <w:ind w:right="61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Website Redesign</w:t>
            </w:r>
          </w:p>
        </w:tc>
        <w:tc>
          <w:tcPr>
            <w:tcW w:w="5490" w:type="dxa"/>
          </w:tcPr>
          <w:p w:rsidR="008440B3" w:rsidRPr="00041AE1" w:rsidRDefault="00E66974" w:rsidP="00E66974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Howell Group redesigning website. Launch should be by early Spring. </w:t>
            </w:r>
          </w:p>
        </w:tc>
        <w:tc>
          <w:tcPr>
            <w:tcW w:w="1350" w:type="dxa"/>
          </w:tcPr>
          <w:p w:rsidR="008440B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8440B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8440B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No</w:t>
            </w:r>
          </w:p>
        </w:tc>
        <w:tc>
          <w:tcPr>
            <w:tcW w:w="2795" w:type="dxa"/>
          </w:tcPr>
          <w:p w:rsidR="008440B3" w:rsidRPr="00041AE1" w:rsidRDefault="00E66974" w:rsidP="00A059B0">
            <w:pPr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Review  site and </w:t>
            </w:r>
            <w:r w:rsidR="00A059B0" w:rsidRPr="00041AE1">
              <w:rPr>
                <w:rFonts w:asciiTheme="minorHAnsi" w:hAnsiTheme="minorHAnsi"/>
                <w:sz w:val="21"/>
                <w:szCs w:val="21"/>
              </w:rPr>
              <w:t>discuss next steps.</w:t>
            </w:r>
          </w:p>
        </w:tc>
      </w:tr>
      <w:tr w:rsidR="00B2118F" w:rsidRPr="002E0AA6" w:rsidTr="003A04F5">
        <w:tc>
          <w:tcPr>
            <w:tcW w:w="1863" w:type="dxa"/>
          </w:tcPr>
          <w:p w:rsidR="00B2118F" w:rsidRPr="00041AE1" w:rsidRDefault="000B2343" w:rsidP="003A04F5">
            <w:pPr>
              <w:pStyle w:val="Default"/>
              <w:ind w:right="61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Survey Instrument</w:t>
            </w:r>
          </w:p>
        </w:tc>
        <w:tc>
          <w:tcPr>
            <w:tcW w:w="5490" w:type="dxa"/>
          </w:tcPr>
          <w:p w:rsidR="00B2118F" w:rsidRPr="00041AE1" w:rsidRDefault="000B2343" w:rsidP="00A258EA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Assessment of survey tool options conducted and recommendation will be provided to board. </w:t>
            </w:r>
          </w:p>
        </w:tc>
        <w:tc>
          <w:tcPr>
            <w:tcW w:w="1350" w:type="dxa"/>
          </w:tcPr>
          <w:p w:rsidR="00B2118F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B2118F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B2118F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2795" w:type="dxa"/>
          </w:tcPr>
          <w:p w:rsidR="00B2118F" w:rsidRPr="00041AE1" w:rsidRDefault="00A059B0" w:rsidP="00BC45A4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Discuss recommendation and </w:t>
            </w:r>
            <w:r w:rsidR="000B2343" w:rsidRPr="00041AE1">
              <w:rPr>
                <w:rFonts w:asciiTheme="minorHAnsi" w:hAnsiTheme="minorHAnsi"/>
                <w:sz w:val="21"/>
                <w:szCs w:val="21"/>
              </w:rPr>
              <w:t xml:space="preserve">determine </w:t>
            </w:r>
            <w:r w:rsidR="00BC45A4">
              <w:rPr>
                <w:rFonts w:asciiTheme="minorHAnsi" w:hAnsiTheme="minorHAnsi"/>
                <w:sz w:val="21"/>
                <w:szCs w:val="21"/>
              </w:rPr>
              <w:t>if NACM should purchase a subscription or a survey tool.</w:t>
            </w:r>
          </w:p>
        </w:tc>
      </w:tr>
      <w:tr w:rsidR="000B2343" w:rsidRPr="002E0AA6" w:rsidTr="003A04F5">
        <w:tc>
          <w:tcPr>
            <w:tcW w:w="1863" w:type="dxa"/>
          </w:tcPr>
          <w:p w:rsidR="000B2343" w:rsidRPr="00041AE1" w:rsidRDefault="000B2343" w:rsidP="00507522">
            <w:pPr>
              <w:pStyle w:val="Default"/>
              <w:ind w:right="446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Educational Opportunities</w:t>
            </w:r>
          </w:p>
        </w:tc>
        <w:tc>
          <w:tcPr>
            <w:tcW w:w="5490" w:type="dxa"/>
          </w:tcPr>
          <w:p w:rsidR="000B2343" w:rsidRPr="00041AE1" w:rsidRDefault="00A258EA" w:rsidP="00BC45A4">
            <w:pPr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 xml:space="preserve">Committee members considered whether NACM should pursue </w:t>
            </w:r>
            <w:r w:rsidR="00BC45A4">
              <w:rPr>
                <w:rFonts w:asciiTheme="minorHAnsi" w:hAnsiTheme="minorHAnsi"/>
                <w:sz w:val="21"/>
                <w:szCs w:val="21"/>
              </w:rPr>
              <w:t>offering</w:t>
            </w:r>
            <w:r w:rsidR="00D647CB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B2343" w:rsidRPr="00041AE1">
              <w:rPr>
                <w:rFonts w:asciiTheme="minorHAnsi" w:hAnsiTheme="minorHAnsi"/>
                <w:sz w:val="21"/>
                <w:szCs w:val="21"/>
              </w:rPr>
              <w:t xml:space="preserve">additional </w:t>
            </w:r>
            <w:r w:rsidR="001E7B76" w:rsidRPr="00041AE1">
              <w:rPr>
                <w:rFonts w:asciiTheme="minorHAnsi" w:hAnsiTheme="minorHAnsi"/>
                <w:sz w:val="21"/>
                <w:szCs w:val="21"/>
              </w:rPr>
              <w:t xml:space="preserve">educational opportunities </w:t>
            </w:r>
            <w:r w:rsidR="00BC45A4">
              <w:rPr>
                <w:rFonts w:asciiTheme="minorHAnsi" w:hAnsiTheme="minorHAnsi"/>
                <w:sz w:val="21"/>
                <w:szCs w:val="21"/>
              </w:rPr>
              <w:t>to</w:t>
            </w:r>
            <w:r w:rsidR="001E7B76" w:rsidRPr="00041AE1">
              <w:rPr>
                <w:rFonts w:asciiTheme="minorHAnsi" w:hAnsiTheme="minorHAnsi"/>
                <w:sz w:val="21"/>
                <w:szCs w:val="21"/>
              </w:rPr>
              <w:t xml:space="preserve"> NACM members using other </w:t>
            </w:r>
            <w:r w:rsidR="00BC45A4">
              <w:rPr>
                <w:rFonts w:asciiTheme="minorHAnsi" w:hAnsiTheme="minorHAnsi"/>
                <w:sz w:val="21"/>
                <w:szCs w:val="21"/>
              </w:rPr>
              <w:t xml:space="preserve">forms of </w:t>
            </w:r>
            <w:r w:rsidR="001E7B76" w:rsidRPr="00041AE1">
              <w:rPr>
                <w:rFonts w:asciiTheme="minorHAnsi" w:hAnsiTheme="minorHAnsi"/>
                <w:sz w:val="21"/>
                <w:szCs w:val="21"/>
              </w:rPr>
              <w:t>delivery such as podc</w:t>
            </w:r>
            <w:r w:rsidR="000B2343" w:rsidRPr="00041AE1">
              <w:rPr>
                <w:rFonts w:asciiTheme="minorHAnsi" w:hAnsiTheme="minorHAnsi"/>
                <w:sz w:val="21"/>
                <w:szCs w:val="21"/>
              </w:rPr>
              <w:t>asts, blogs, webinars, short video trainings, conference recordings, SJI projects mini summits/events, etc.</w:t>
            </w:r>
            <w:r w:rsidR="001E7B76" w:rsidRPr="00041AE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647CB" w:rsidRPr="00041AE1">
              <w:rPr>
                <w:rFonts w:asciiTheme="minorHAnsi" w:hAnsiTheme="minorHAnsi"/>
                <w:sz w:val="21"/>
                <w:szCs w:val="21"/>
              </w:rPr>
              <w:t xml:space="preserve"> Committee </w:t>
            </w:r>
            <w:r w:rsidR="0025016E" w:rsidRPr="00041AE1">
              <w:rPr>
                <w:rFonts w:asciiTheme="minorHAnsi" w:hAnsiTheme="minorHAnsi"/>
                <w:sz w:val="21"/>
                <w:szCs w:val="21"/>
              </w:rPr>
              <w:t xml:space="preserve">recommends NACM </w:t>
            </w:r>
            <w:r w:rsidR="0025016E" w:rsidRPr="00041AE1">
              <w:rPr>
                <w:rFonts w:asciiTheme="minorHAnsi" w:hAnsiTheme="minorHAnsi"/>
                <w:sz w:val="21"/>
                <w:szCs w:val="21"/>
                <w:u w:val="single"/>
              </w:rPr>
              <w:t>not</w:t>
            </w:r>
            <w:r w:rsidR="0025016E" w:rsidRPr="00041AE1">
              <w:rPr>
                <w:rFonts w:asciiTheme="minorHAnsi" w:hAnsiTheme="minorHAnsi"/>
                <w:sz w:val="21"/>
                <w:szCs w:val="21"/>
              </w:rPr>
              <w:t xml:space="preserve"> add other methods for delivering educational content </w:t>
            </w:r>
            <w:r w:rsidR="006B61F5" w:rsidRPr="00041AE1">
              <w:rPr>
                <w:rFonts w:asciiTheme="minorHAnsi" w:hAnsiTheme="minorHAnsi"/>
                <w:sz w:val="21"/>
                <w:szCs w:val="21"/>
              </w:rPr>
              <w:t>because</w:t>
            </w:r>
            <w:r w:rsidR="0025016E" w:rsidRPr="00041AE1">
              <w:rPr>
                <w:rFonts w:asciiTheme="minorHAnsi" w:hAnsiTheme="minorHAnsi"/>
                <w:sz w:val="21"/>
                <w:szCs w:val="21"/>
              </w:rPr>
              <w:t xml:space="preserve"> members think that NACM is meeting the </w:t>
            </w:r>
            <w:r w:rsidR="006B61F5" w:rsidRPr="00041AE1">
              <w:rPr>
                <w:rFonts w:asciiTheme="minorHAnsi" w:hAnsiTheme="minorHAnsi"/>
                <w:sz w:val="21"/>
                <w:szCs w:val="21"/>
              </w:rPr>
              <w:t xml:space="preserve">educational </w:t>
            </w:r>
            <w:r w:rsidR="0025016E" w:rsidRPr="00041AE1">
              <w:rPr>
                <w:rFonts w:asciiTheme="minorHAnsi" w:hAnsiTheme="minorHAnsi"/>
                <w:sz w:val="21"/>
                <w:szCs w:val="21"/>
              </w:rPr>
              <w:t>needs of the membership through existing methods.</w:t>
            </w:r>
          </w:p>
        </w:tc>
        <w:tc>
          <w:tcPr>
            <w:tcW w:w="1350" w:type="dxa"/>
          </w:tcPr>
          <w:p w:rsidR="000B234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color w:val="C00000"/>
                <w:sz w:val="21"/>
                <w:szCs w:val="21"/>
              </w:rPr>
              <w:t>Yes</w:t>
            </w:r>
          </w:p>
        </w:tc>
        <w:tc>
          <w:tcPr>
            <w:tcW w:w="1262" w:type="dxa"/>
          </w:tcPr>
          <w:p w:rsidR="000B234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1253" w:type="dxa"/>
          </w:tcPr>
          <w:p w:rsidR="000B2343" w:rsidRPr="00041AE1" w:rsidRDefault="000B2343" w:rsidP="00C33FF7">
            <w:pPr>
              <w:pStyle w:val="Default"/>
              <w:ind w:right="32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41AE1">
              <w:rPr>
                <w:rFonts w:asciiTheme="minorHAnsi" w:hAnsiTheme="minorHAnsi" w:cs="Calibri"/>
                <w:b/>
                <w:sz w:val="21"/>
                <w:szCs w:val="21"/>
              </w:rPr>
              <w:t>Yes</w:t>
            </w:r>
          </w:p>
        </w:tc>
        <w:tc>
          <w:tcPr>
            <w:tcW w:w="2795" w:type="dxa"/>
          </w:tcPr>
          <w:p w:rsidR="000B2343" w:rsidRPr="00041AE1" w:rsidRDefault="000B2343" w:rsidP="0025016E">
            <w:pPr>
              <w:rPr>
                <w:rFonts w:asciiTheme="minorHAnsi" w:hAnsiTheme="minorHAnsi"/>
                <w:sz w:val="21"/>
                <w:szCs w:val="21"/>
              </w:rPr>
            </w:pPr>
            <w:r w:rsidRPr="00041AE1">
              <w:rPr>
                <w:rFonts w:asciiTheme="minorHAnsi" w:hAnsiTheme="minorHAnsi"/>
                <w:sz w:val="21"/>
                <w:szCs w:val="21"/>
              </w:rPr>
              <w:t>Discuss</w:t>
            </w:r>
            <w:r w:rsidR="0025016E" w:rsidRPr="00041AE1">
              <w:rPr>
                <w:rFonts w:asciiTheme="minorHAnsi" w:hAnsiTheme="minorHAnsi"/>
                <w:sz w:val="21"/>
                <w:szCs w:val="21"/>
              </w:rPr>
              <w:t xml:space="preserve"> committee’s recommendation and determine next steps, if any.</w:t>
            </w:r>
          </w:p>
        </w:tc>
      </w:tr>
    </w:tbl>
    <w:p w:rsidR="00C43EF5" w:rsidRPr="002E0AA6" w:rsidRDefault="00C43EF5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</w:p>
    <w:p w:rsidR="006B7497" w:rsidRPr="002E0AA6" w:rsidRDefault="006B7497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  <w:r w:rsidRPr="002E0AA6">
        <w:rPr>
          <w:rFonts w:asciiTheme="minorHAnsi" w:hAnsiTheme="minorHAnsi" w:cs="Calibri"/>
          <w:b/>
          <w:sz w:val="22"/>
          <w:szCs w:val="22"/>
        </w:rPr>
        <w:t>T</w:t>
      </w:r>
      <w:r w:rsidR="00F310B8" w:rsidRPr="002E0AA6">
        <w:rPr>
          <w:rFonts w:asciiTheme="minorHAnsi" w:hAnsiTheme="minorHAnsi" w:cs="Calibri"/>
          <w:b/>
          <w:sz w:val="22"/>
          <w:szCs w:val="22"/>
        </w:rPr>
        <w:t xml:space="preserve">ime needed </w:t>
      </w:r>
      <w:r w:rsidRPr="002E0AA6">
        <w:rPr>
          <w:rFonts w:asciiTheme="minorHAnsi" w:hAnsiTheme="minorHAnsi" w:cs="Calibri"/>
          <w:b/>
          <w:sz w:val="22"/>
          <w:szCs w:val="22"/>
        </w:rPr>
        <w:t xml:space="preserve">at meeting </w:t>
      </w:r>
      <w:r w:rsidR="00F310B8" w:rsidRPr="002E0AA6">
        <w:rPr>
          <w:rFonts w:asciiTheme="minorHAnsi" w:hAnsiTheme="minorHAnsi" w:cs="Calibri"/>
          <w:b/>
          <w:sz w:val="22"/>
          <w:szCs w:val="22"/>
        </w:rPr>
        <w:t xml:space="preserve">for </w:t>
      </w:r>
      <w:r w:rsidRPr="002E0AA6">
        <w:rPr>
          <w:rFonts w:asciiTheme="minorHAnsi" w:hAnsiTheme="minorHAnsi" w:cs="Calibri"/>
          <w:b/>
          <w:sz w:val="22"/>
          <w:szCs w:val="22"/>
        </w:rPr>
        <w:t>C</w:t>
      </w:r>
      <w:r w:rsidR="00F310B8" w:rsidRPr="002E0AA6">
        <w:rPr>
          <w:rFonts w:asciiTheme="minorHAnsi" w:hAnsiTheme="minorHAnsi" w:cs="Calibri"/>
          <w:b/>
          <w:sz w:val="22"/>
          <w:szCs w:val="22"/>
        </w:rPr>
        <w:t>ommittee report:</w:t>
      </w:r>
      <w:r w:rsidR="00905210" w:rsidRPr="002E0AA6">
        <w:rPr>
          <w:rFonts w:asciiTheme="minorHAnsi" w:hAnsiTheme="minorHAnsi" w:cs="Calibri"/>
          <w:b/>
          <w:sz w:val="22"/>
          <w:szCs w:val="22"/>
        </w:rPr>
        <w:tab/>
        <w:t xml:space="preserve">  </w:t>
      </w:r>
      <w:r w:rsidR="002E0AA6" w:rsidRPr="002E0AA6">
        <w:rPr>
          <w:rFonts w:asciiTheme="minorHAnsi" w:hAnsiTheme="minorHAnsi"/>
          <w:b/>
        </w:rPr>
        <w:t>50 minutes (30 minutes for Communication items and 20 minutes for website review)</w:t>
      </w:r>
    </w:p>
    <w:p w:rsidR="00564A09" w:rsidRPr="002E0AA6" w:rsidRDefault="00564A09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</w:p>
    <w:p w:rsidR="006B7497" w:rsidRPr="002E0AA6" w:rsidRDefault="006B7497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  <w:r w:rsidRPr="002E0AA6">
        <w:rPr>
          <w:rFonts w:asciiTheme="minorHAnsi" w:hAnsiTheme="minorHAnsi" w:cs="Calibri"/>
          <w:b/>
          <w:sz w:val="22"/>
          <w:szCs w:val="22"/>
        </w:rPr>
        <w:t xml:space="preserve">Submitted </w:t>
      </w:r>
      <w:r w:rsidR="00025171" w:rsidRPr="002E0AA6">
        <w:rPr>
          <w:rFonts w:asciiTheme="minorHAnsi" w:hAnsiTheme="minorHAnsi" w:cs="Calibri"/>
          <w:b/>
          <w:sz w:val="22"/>
          <w:szCs w:val="22"/>
        </w:rPr>
        <w:t>b</w:t>
      </w:r>
      <w:r w:rsidRPr="002E0AA6">
        <w:rPr>
          <w:rFonts w:asciiTheme="minorHAnsi" w:hAnsiTheme="minorHAnsi" w:cs="Calibri"/>
          <w:b/>
          <w:sz w:val="22"/>
          <w:szCs w:val="22"/>
        </w:rPr>
        <w:t>y:</w:t>
      </w:r>
      <w:r w:rsidR="00564A09" w:rsidRPr="002E0AA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18F" w:rsidRPr="002E0AA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E0AA6" w:rsidRPr="002E0AA6">
        <w:rPr>
          <w:rFonts w:asciiTheme="minorHAnsi" w:hAnsiTheme="minorHAnsi" w:cs="Calibri"/>
          <w:b/>
          <w:sz w:val="22"/>
          <w:szCs w:val="22"/>
        </w:rPr>
        <w:t>Dawn Palermo</w:t>
      </w:r>
    </w:p>
    <w:p w:rsidR="00564A09" w:rsidRPr="002E0AA6" w:rsidRDefault="00564A09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</w:p>
    <w:p w:rsidR="006B7497" w:rsidRPr="002E0AA6" w:rsidRDefault="006B7497" w:rsidP="006B7497">
      <w:pPr>
        <w:pStyle w:val="Default"/>
        <w:ind w:left="720" w:right="446"/>
        <w:rPr>
          <w:rFonts w:asciiTheme="minorHAnsi" w:hAnsiTheme="minorHAnsi" w:cs="Calibri"/>
          <w:b/>
          <w:sz w:val="22"/>
          <w:szCs w:val="22"/>
        </w:rPr>
      </w:pPr>
      <w:r w:rsidRPr="002E0AA6">
        <w:rPr>
          <w:rFonts w:asciiTheme="minorHAnsi" w:hAnsiTheme="minorHAnsi" w:cs="Calibri"/>
          <w:b/>
          <w:sz w:val="22"/>
          <w:szCs w:val="22"/>
        </w:rPr>
        <w:t>Date:</w:t>
      </w:r>
      <w:r w:rsidR="00025171" w:rsidRPr="002E0AA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E0AA6" w:rsidRPr="002E0AA6">
        <w:rPr>
          <w:rFonts w:asciiTheme="minorHAnsi" w:hAnsiTheme="minorHAnsi" w:cs="Calibri"/>
          <w:b/>
          <w:sz w:val="22"/>
          <w:szCs w:val="22"/>
        </w:rPr>
        <w:tab/>
        <w:t>January 8, 2018</w:t>
      </w:r>
      <w:r w:rsidR="0052034A">
        <w:rPr>
          <w:rFonts w:asciiTheme="minorHAnsi" w:hAnsiTheme="minorHAnsi" w:cs="Calibri"/>
          <w:b/>
          <w:sz w:val="22"/>
          <w:szCs w:val="22"/>
        </w:rPr>
        <w:t>, Updated Report on January 26, 2018</w:t>
      </w:r>
    </w:p>
    <w:sectPr w:rsidR="006B7497" w:rsidRPr="002E0AA6" w:rsidSect="003A04F5">
      <w:footerReference w:type="default" r:id="rId9"/>
      <w:pgSz w:w="15840" w:h="12240" w:orient="landscape" w:code="1"/>
      <w:pgMar w:top="1080" w:right="576" w:bottom="864" w:left="245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69" w:rsidRDefault="00C92F69" w:rsidP="003B2BA6">
      <w:r>
        <w:separator/>
      </w:r>
    </w:p>
  </w:endnote>
  <w:endnote w:type="continuationSeparator" w:id="0">
    <w:p w:rsidR="00C92F69" w:rsidRDefault="00C92F69" w:rsidP="003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56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7A52" w:rsidRDefault="00667A52">
            <w:pPr>
              <w:pStyle w:val="Footer"/>
              <w:jc w:val="right"/>
            </w:pPr>
            <w:r w:rsidRPr="002A2992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969C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A299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969C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67A52" w:rsidRDefault="0066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69" w:rsidRDefault="00C92F69" w:rsidP="003B2BA6">
      <w:r>
        <w:separator/>
      </w:r>
    </w:p>
  </w:footnote>
  <w:footnote w:type="continuationSeparator" w:id="0">
    <w:p w:rsidR="00C92F69" w:rsidRDefault="00C92F69" w:rsidP="003B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D4"/>
    <w:multiLevelType w:val="hybridMultilevel"/>
    <w:tmpl w:val="7F0C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8D5"/>
    <w:multiLevelType w:val="hybridMultilevel"/>
    <w:tmpl w:val="535C4800"/>
    <w:lvl w:ilvl="0" w:tplc="B990626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3229"/>
    <w:multiLevelType w:val="hybridMultilevel"/>
    <w:tmpl w:val="3B40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F7E"/>
    <w:multiLevelType w:val="hybridMultilevel"/>
    <w:tmpl w:val="03FC2F00"/>
    <w:lvl w:ilvl="0" w:tplc="3A4C0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CCE"/>
    <w:multiLevelType w:val="hybridMultilevel"/>
    <w:tmpl w:val="5CDCE206"/>
    <w:lvl w:ilvl="0" w:tplc="225A33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5D4D"/>
    <w:multiLevelType w:val="hybridMultilevel"/>
    <w:tmpl w:val="33D86388"/>
    <w:lvl w:ilvl="0" w:tplc="F9EA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78C3"/>
    <w:multiLevelType w:val="hybridMultilevel"/>
    <w:tmpl w:val="8F22A156"/>
    <w:lvl w:ilvl="0" w:tplc="277E6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C442F"/>
    <w:multiLevelType w:val="hybridMultilevel"/>
    <w:tmpl w:val="E5D837AE"/>
    <w:lvl w:ilvl="0" w:tplc="15FC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0393"/>
    <w:multiLevelType w:val="hybridMultilevel"/>
    <w:tmpl w:val="1750B552"/>
    <w:lvl w:ilvl="0" w:tplc="2EFE4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102F"/>
    <w:multiLevelType w:val="hybridMultilevel"/>
    <w:tmpl w:val="F4D090C6"/>
    <w:lvl w:ilvl="0" w:tplc="A230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6"/>
    <w:rsid w:val="000043B1"/>
    <w:rsid w:val="00025171"/>
    <w:rsid w:val="00034FD5"/>
    <w:rsid w:val="00041AE1"/>
    <w:rsid w:val="00056630"/>
    <w:rsid w:val="0005696F"/>
    <w:rsid w:val="00061BAC"/>
    <w:rsid w:val="00065D9C"/>
    <w:rsid w:val="0006766A"/>
    <w:rsid w:val="000811C7"/>
    <w:rsid w:val="000B101F"/>
    <w:rsid w:val="000B2343"/>
    <w:rsid w:val="001151DD"/>
    <w:rsid w:val="00123F84"/>
    <w:rsid w:val="00134962"/>
    <w:rsid w:val="001E31D8"/>
    <w:rsid w:val="001E7B76"/>
    <w:rsid w:val="002366A6"/>
    <w:rsid w:val="0025016E"/>
    <w:rsid w:val="00252875"/>
    <w:rsid w:val="002A2992"/>
    <w:rsid w:val="002E076E"/>
    <w:rsid w:val="002E0AA6"/>
    <w:rsid w:val="002F63DF"/>
    <w:rsid w:val="002F684A"/>
    <w:rsid w:val="00313D1A"/>
    <w:rsid w:val="003200EA"/>
    <w:rsid w:val="003431F1"/>
    <w:rsid w:val="003601C3"/>
    <w:rsid w:val="00362CB7"/>
    <w:rsid w:val="003676A0"/>
    <w:rsid w:val="003A04F5"/>
    <w:rsid w:val="003A625D"/>
    <w:rsid w:val="003B2BA6"/>
    <w:rsid w:val="003C7CD2"/>
    <w:rsid w:val="003F06CB"/>
    <w:rsid w:val="00423E6C"/>
    <w:rsid w:val="00441B4A"/>
    <w:rsid w:val="004577CC"/>
    <w:rsid w:val="004725DB"/>
    <w:rsid w:val="00496DB8"/>
    <w:rsid w:val="004A2265"/>
    <w:rsid w:val="004A59B8"/>
    <w:rsid w:val="004A7522"/>
    <w:rsid w:val="004E3E78"/>
    <w:rsid w:val="004F12CA"/>
    <w:rsid w:val="004F2EF6"/>
    <w:rsid w:val="00507522"/>
    <w:rsid w:val="0052034A"/>
    <w:rsid w:val="00532388"/>
    <w:rsid w:val="00544F36"/>
    <w:rsid w:val="0056001F"/>
    <w:rsid w:val="00564A09"/>
    <w:rsid w:val="00584FB3"/>
    <w:rsid w:val="005A0C51"/>
    <w:rsid w:val="005B6FBB"/>
    <w:rsid w:val="005C4A11"/>
    <w:rsid w:val="005C6F67"/>
    <w:rsid w:val="005E22AF"/>
    <w:rsid w:val="005F3AC4"/>
    <w:rsid w:val="00611B69"/>
    <w:rsid w:val="0062641C"/>
    <w:rsid w:val="00667A52"/>
    <w:rsid w:val="00685E3A"/>
    <w:rsid w:val="00686999"/>
    <w:rsid w:val="00690249"/>
    <w:rsid w:val="006A3D24"/>
    <w:rsid w:val="006A66EE"/>
    <w:rsid w:val="006B61F5"/>
    <w:rsid w:val="006B7497"/>
    <w:rsid w:val="006C2B78"/>
    <w:rsid w:val="006D3E74"/>
    <w:rsid w:val="006E012C"/>
    <w:rsid w:val="006E4FB4"/>
    <w:rsid w:val="006E65DC"/>
    <w:rsid w:val="006F71C9"/>
    <w:rsid w:val="00710293"/>
    <w:rsid w:val="00742E54"/>
    <w:rsid w:val="007A60A6"/>
    <w:rsid w:val="007B185D"/>
    <w:rsid w:val="007C386D"/>
    <w:rsid w:val="007C783C"/>
    <w:rsid w:val="00810A00"/>
    <w:rsid w:val="008267E6"/>
    <w:rsid w:val="00841C7E"/>
    <w:rsid w:val="008440B3"/>
    <w:rsid w:val="008B11DA"/>
    <w:rsid w:val="008C1DC2"/>
    <w:rsid w:val="008D575B"/>
    <w:rsid w:val="00905210"/>
    <w:rsid w:val="00910DEE"/>
    <w:rsid w:val="009905D3"/>
    <w:rsid w:val="0099524E"/>
    <w:rsid w:val="009F5234"/>
    <w:rsid w:val="00A04040"/>
    <w:rsid w:val="00A059B0"/>
    <w:rsid w:val="00A22CA6"/>
    <w:rsid w:val="00A258EA"/>
    <w:rsid w:val="00A654EF"/>
    <w:rsid w:val="00A80B82"/>
    <w:rsid w:val="00A82C1D"/>
    <w:rsid w:val="00AB6F8E"/>
    <w:rsid w:val="00AC5CB5"/>
    <w:rsid w:val="00B0118F"/>
    <w:rsid w:val="00B2118F"/>
    <w:rsid w:val="00B42886"/>
    <w:rsid w:val="00B805A0"/>
    <w:rsid w:val="00B84D8C"/>
    <w:rsid w:val="00B9155A"/>
    <w:rsid w:val="00B969C6"/>
    <w:rsid w:val="00BC45A4"/>
    <w:rsid w:val="00BE7A70"/>
    <w:rsid w:val="00BF6067"/>
    <w:rsid w:val="00BF6617"/>
    <w:rsid w:val="00C13789"/>
    <w:rsid w:val="00C17284"/>
    <w:rsid w:val="00C33FF7"/>
    <w:rsid w:val="00C43EF5"/>
    <w:rsid w:val="00C8572D"/>
    <w:rsid w:val="00C857CC"/>
    <w:rsid w:val="00C91288"/>
    <w:rsid w:val="00C92F69"/>
    <w:rsid w:val="00CD036C"/>
    <w:rsid w:val="00CD3DCC"/>
    <w:rsid w:val="00CF1530"/>
    <w:rsid w:val="00CF4472"/>
    <w:rsid w:val="00CF6D9F"/>
    <w:rsid w:val="00D15E4D"/>
    <w:rsid w:val="00D20D19"/>
    <w:rsid w:val="00D34EA1"/>
    <w:rsid w:val="00D647CB"/>
    <w:rsid w:val="00D71060"/>
    <w:rsid w:val="00D939CA"/>
    <w:rsid w:val="00DA5642"/>
    <w:rsid w:val="00DE59E6"/>
    <w:rsid w:val="00DF1F1A"/>
    <w:rsid w:val="00DF487E"/>
    <w:rsid w:val="00E03F42"/>
    <w:rsid w:val="00E3014E"/>
    <w:rsid w:val="00E66974"/>
    <w:rsid w:val="00F156B1"/>
    <w:rsid w:val="00F17823"/>
    <w:rsid w:val="00F310B8"/>
    <w:rsid w:val="00F417DC"/>
    <w:rsid w:val="00F8115E"/>
    <w:rsid w:val="00F8306D"/>
    <w:rsid w:val="00F96704"/>
    <w:rsid w:val="00FA58C8"/>
    <w:rsid w:val="00FC0180"/>
    <w:rsid w:val="00FD744A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44B15-B583-498C-8E63-FCFDC6E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A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BA6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B2BA6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A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A6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3B2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6"/>
    <w:pPr>
      <w:ind w:left="720"/>
      <w:contextualSpacing/>
    </w:pPr>
  </w:style>
  <w:style w:type="table" w:styleId="TableGrid">
    <w:name w:val="Table Grid"/>
    <w:basedOn w:val="TableNormal"/>
    <w:uiPriority w:val="39"/>
    <w:rsid w:val="000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B185D"/>
    <w:rPr>
      <w:rFonts w:ascii="Segoe UI" w:eastAsiaTheme="minorHAnsi" w:hAnsi="Segoe UI" w:cstheme="minorBidi"/>
      <w:color w:val="002060"/>
      <w:sz w:val="21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85D"/>
    <w:rPr>
      <w:rFonts w:ascii="Segoe UI" w:hAnsi="Segoe UI"/>
      <w:color w:val="002060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BC6C-029B-412C-93FD-9CFDAAB6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Griffith</dc:creator>
  <cp:lastModifiedBy>Dawn Palermo</cp:lastModifiedBy>
  <cp:revision>3</cp:revision>
  <cp:lastPrinted>2018-01-26T18:41:00Z</cp:lastPrinted>
  <dcterms:created xsi:type="dcterms:W3CDTF">2018-01-26T18:40:00Z</dcterms:created>
  <dcterms:modified xsi:type="dcterms:W3CDTF">2018-01-26T18:41:00Z</dcterms:modified>
</cp:coreProperties>
</file>