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6FD66" w14:textId="77777777" w:rsidR="00C749DD" w:rsidRPr="00C749DD" w:rsidRDefault="00C749DD" w:rsidP="00C749DD">
      <w:r w:rsidRPr="00C749DD">
        <w:t>Searched 4 sites</w:t>
      </w:r>
    </w:p>
    <w:p w14:paraId="69F40200" w14:textId="77777777" w:rsidR="00C749DD" w:rsidRPr="00C749DD" w:rsidRDefault="00C749DD" w:rsidP="00C749DD">
      <w:r w:rsidRPr="00C749DD">
        <w:t>Here are five key trends expected to shape court procedural law and litigation in 2025:</w:t>
      </w:r>
    </w:p>
    <w:p w14:paraId="50FDB2EF" w14:textId="77777777" w:rsidR="00C749DD" w:rsidRPr="00C749DD" w:rsidRDefault="00C749DD" w:rsidP="00C749DD">
      <w:pPr>
        <w:numPr>
          <w:ilvl w:val="0"/>
          <w:numId w:val="1"/>
        </w:numPr>
      </w:pPr>
      <w:r w:rsidRPr="00C749DD">
        <w:rPr>
          <w:b/>
          <w:bCs/>
        </w:rPr>
        <w:t>Increased Use of Virtual Courts</w:t>
      </w:r>
      <w:r w:rsidRPr="00C749DD">
        <w:t>: Building on the adaptations during the pandemic, virtual courts and online dispute resolution are becoming more common. These methods improve accessibility, reduce costs, and accelerate case resolutions. Many jurisdictions are refining the technical and procedural frameworks for such virtual environments</w:t>
      </w:r>
      <w:r w:rsidRPr="00C749DD">
        <w:rPr>
          <w:rFonts w:ascii="Times New Roman" w:hAnsi="Times New Roman" w:cs="Times New Roman"/>
        </w:rPr>
        <w:t>​</w:t>
      </w:r>
    </w:p>
    <w:p w14:paraId="2FC65B1C" w14:textId="77777777" w:rsidR="00C749DD" w:rsidRPr="00C749DD" w:rsidRDefault="00C749DD" w:rsidP="00C749DD">
      <w:hyperlink r:id="rId5" w:tgtFrame="_blank" w:history="1">
        <w:r w:rsidRPr="00C749DD">
          <w:rPr>
            <w:rStyle w:val="Hyperlink"/>
          </w:rPr>
          <w:t>The BTI Consulting Group</w:t>
        </w:r>
      </w:hyperlink>
    </w:p>
    <w:p w14:paraId="67A2044E" w14:textId="77777777" w:rsidR="00C749DD" w:rsidRPr="00C749DD" w:rsidRDefault="00C749DD" w:rsidP="00C749DD">
      <w:r w:rsidRPr="00C749DD">
        <w:rPr>
          <w:rFonts w:ascii="Times New Roman" w:hAnsi="Times New Roman" w:cs="Times New Roman"/>
        </w:rPr>
        <w:t>​</w:t>
      </w:r>
    </w:p>
    <w:p w14:paraId="4D8C1AF2" w14:textId="77777777" w:rsidR="00C749DD" w:rsidRPr="00C749DD" w:rsidRDefault="00C749DD" w:rsidP="00C749DD">
      <w:hyperlink r:id="rId6" w:tgtFrame="_blank" w:history="1">
        <w:proofErr w:type="spellStart"/>
        <w:r w:rsidRPr="00C749DD">
          <w:rPr>
            <w:rStyle w:val="Hyperlink"/>
          </w:rPr>
          <w:t>Inductus</w:t>
        </w:r>
        <w:proofErr w:type="spellEnd"/>
        <w:r w:rsidRPr="00C749DD">
          <w:rPr>
            <w:rStyle w:val="Hyperlink"/>
          </w:rPr>
          <w:t xml:space="preserve"> Legal</w:t>
        </w:r>
      </w:hyperlink>
    </w:p>
    <w:p w14:paraId="12F2A45D" w14:textId="77777777" w:rsidR="00C749DD" w:rsidRPr="00C749DD" w:rsidRDefault="00C749DD" w:rsidP="00C749DD">
      <w:r w:rsidRPr="00C749DD">
        <w:t>.</w:t>
      </w:r>
    </w:p>
    <w:p w14:paraId="01982D3A" w14:textId="77777777" w:rsidR="00C749DD" w:rsidRPr="00C749DD" w:rsidRDefault="00C749DD" w:rsidP="00C749DD">
      <w:pPr>
        <w:numPr>
          <w:ilvl w:val="0"/>
          <w:numId w:val="1"/>
        </w:numPr>
      </w:pPr>
      <w:r w:rsidRPr="00C749DD">
        <w:rPr>
          <w:b/>
          <w:bCs/>
        </w:rPr>
        <w:t>Integration of Advanced Legal Technology</w:t>
      </w:r>
      <w:r w:rsidRPr="00C749DD">
        <w:t>: Tools like AI-driven legal research, robotic process automation (RPA), and data analytics are transforming procedural efficiency. These innovations enhance case preparation, predict case outcomes, and streamline tasks such as document review and e-discovery</w:t>
      </w:r>
      <w:r w:rsidRPr="00C749DD">
        <w:rPr>
          <w:rFonts w:ascii="Times New Roman" w:hAnsi="Times New Roman" w:cs="Times New Roman"/>
        </w:rPr>
        <w:t>​</w:t>
      </w:r>
    </w:p>
    <w:p w14:paraId="460BA857" w14:textId="77777777" w:rsidR="00C749DD" w:rsidRPr="00C749DD" w:rsidRDefault="00C749DD" w:rsidP="00C749DD">
      <w:hyperlink r:id="rId7" w:tgtFrame="_blank" w:history="1">
        <w:proofErr w:type="spellStart"/>
        <w:r w:rsidRPr="00C749DD">
          <w:rPr>
            <w:rStyle w:val="Hyperlink"/>
          </w:rPr>
          <w:t>Inductus</w:t>
        </w:r>
        <w:proofErr w:type="spellEnd"/>
        <w:r w:rsidRPr="00C749DD">
          <w:rPr>
            <w:rStyle w:val="Hyperlink"/>
          </w:rPr>
          <w:t xml:space="preserve"> Legal</w:t>
        </w:r>
      </w:hyperlink>
    </w:p>
    <w:p w14:paraId="4845FA22" w14:textId="77777777" w:rsidR="00C749DD" w:rsidRPr="00C749DD" w:rsidRDefault="00C749DD" w:rsidP="00C749DD">
      <w:r w:rsidRPr="00C749DD">
        <w:rPr>
          <w:rFonts w:ascii="Times New Roman" w:hAnsi="Times New Roman" w:cs="Times New Roman"/>
        </w:rPr>
        <w:t>​</w:t>
      </w:r>
    </w:p>
    <w:p w14:paraId="3F99B834" w14:textId="77777777" w:rsidR="00C749DD" w:rsidRPr="00C749DD" w:rsidRDefault="00C749DD" w:rsidP="00C749DD">
      <w:hyperlink r:id="rId8" w:tgtFrame="_blank" w:history="1">
        <w:proofErr w:type="spellStart"/>
        <w:r w:rsidRPr="00C749DD">
          <w:rPr>
            <w:rStyle w:val="Hyperlink"/>
          </w:rPr>
          <w:t>Conventus</w:t>
        </w:r>
        <w:proofErr w:type="spellEnd"/>
        <w:r w:rsidRPr="00C749DD">
          <w:rPr>
            <w:rStyle w:val="Hyperlink"/>
          </w:rPr>
          <w:t xml:space="preserve"> Law</w:t>
        </w:r>
      </w:hyperlink>
    </w:p>
    <w:p w14:paraId="073C722B" w14:textId="77777777" w:rsidR="00C749DD" w:rsidRPr="00C749DD" w:rsidRDefault="00C749DD" w:rsidP="00C749DD">
      <w:r w:rsidRPr="00C749DD">
        <w:t>.</w:t>
      </w:r>
    </w:p>
    <w:p w14:paraId="34F495D7" w14:textId="77777777" w:rsidR="00C749DD" w:rsidRPr="00C749DD" w:rsidRDefault="00C749DD" w:rsidP="00C749DD">
      <w:pPr>
        <w:numPr>
          <w:ilvl w:val="0"/>
          <w:numId w:val="1"/>
        </w:numPr>
      </w:pPr>
      <w:r w:rsidRPr="00C749DD">
        <w:rPr>
          <w:b/>
          <w:bCs/>
        </w:rPr>
        <w:t>Focus on Data Privacy and Cybersecurity Litigation</w:t>
      </w:r>
      <w:r w:rsidRPr="00C749DD">
        <w:t>: The surge in data breaches and stringent global privacy regulations have escalated litigation in these areas. Courts are adapting procedural rules to address the complexities of evidence in digital formats, including blockchain validation and cybersecurity issues</w:t>
      </w:r>
      <w:r w:rsidRPr="00C749DD">
        <w:rPr>
          <w:rFonts w:ascii="Times New Roman" w:hAnsi="Times New Roman" w:cs="Times New Roman"/>
        </w:rPr>
        <w:t>​</w:t>
      </w:r>
    </w:p>
    <w:p w14:paraId="2625381E" w14:textId="77777777" w:rsidR="00C749DD" w:rsidRPr="00C749DD" w:rsidRDefault="00C749DD" w:rsidP="00C749DD">
      <w:hyperlink r:id="rId9" w:tgtFrame="_blank" w:history="1">
        <w:r w:rsidRPr="00C749DD">
          <w:rPr>
            <w:rStyle w:val="Hyperlink"/>
          </w:rPr>
          <w:t>The BTI Consulting Group</w:t>
        </w:r>
      </w:hyperlink>
    </w:p>
    <w:p w14:paraId="7CE696A9" w14:textId="77777777" w:rsidR="00C749DD" w:rsidRPr="00C749DD" w:rsidRDefault="00C749DD" w:rsidP="00C749DD">
      <w:r w:rsidRPr="00C749DD">
        <w:rPr>
          <w:rFonts w:ascii="Times New Roman" w:hAnsi="Times New Roman" w:cs="Times New Roman"/>
        </w:rPr>
        <w:t>​</w:t>
      </w:r>
    </w:p>
    <w:p w14:paraId="352EC157" w14:textId="77777777" w:rsidR="00C749DD" w:rsidRPr="00C749DD" w:rsidRDefault="00C749DD" w:rsidP="00C749DD">
      <w:hyperlink r:id="rId10" w:tgtFrame="_blank" w:history="1">
        <w:proofErr w:type="spellStart"/>
        <w:r w:rsidRPr="00C749DD">
          <w:rPr>
            <w:rStyle w:val="Hyperlink"/>
          </w:rPr>
          <w:t>Conventus</w:t>
        </w:r>
        <w:proofErr w:type="spellEnd"/>
        <w:r w:rsidRPr="00C749DD">
          <w:rPr>
            <w:rStyle w:val="Hyperlink"/>
          </w:rPr>
          <w:t xml:space="preserve"> Law</w:t>
        </w:r>
      </w:hyperlink>
    </w:p>
    <w:p w14:paraId="5DBBE877" w14:textId="77777777" w:rsidR="00C749DD" w:rsidRPr="00C749DD" w:rsidRDefault="00C749DD" w:rsidP="00C749DD">
      <w:r w:rsidRPr="00C749DD">
        <w:t>.</w:t>
      </w:r>
    </w:p>
    <w:p w14:paraId="0CD21079" w14:textId="77777777" w:rsidR="00C749DD" w:rsidRPr="00C749DD" w:rsidRDefault="00C749DD" w:rsidP="00C749DD">
      <w:pPr>
        <w:numPr>
          <w:ilvl w:val="0"/>
          <w:numId w:val="1"/>
        </w:numPr>
      </w:pPr>
      <w:r w:rsidRPr="00C749DD">
        <w:rPr>
          <w:b/>
          <w:bCs/>
        </w:rPr>
        <w:lastRenderedPageBreak/>
        <w:t>Growth in High-Stakes Litigation</w:t>
      </w:r>
      <w:r w:rsidRPr="00C749DD">
        <w:t>: There is a notable increase in "bet-the-company" cases, involving significant financial or reputational risks. These cases often require specialized procedural handling due to their complexity and high-profile nature</w:t>
      </w:r>
      <w:r w:rsidRPr="00C749DD">
        <w:rPr>
          <w:rFonts w:ascii="Times New Roman" w:hAnsi="Times New Roman" w:cs="Times New Roman"/>
        </w:rPr>
        <w:t>​</w:t>
      </w:r>
    </w:p>
    <w:p w14:paraId="71CEB35E" w14:textId="77777777" w:rsidR="00C749DD" w:rsidRPr="00C749DD" w:rsidRDefault="00C749DD" w:rsidP="00C749DD">
      <w:hyperlink r:id="rId11" w:tgtFrame="_blank" w:history="1">
        <w:r w:rsidRPr="00C749DD">
          <w:rPr>
            <w:rStyle w:val="Hyperlink"/>
          </w:rPr>
          <w:t>The BTI Consulting Group</w:t>
        </w:r>
      </w:hyperlink>
    </w:p>
    <w:p w14:paraId="21C40CF2" w14:textId="77777777" w:rsidR="00C749DD" w:rsidRPr="00C749DD" w:rsidRDefault="00C749DD" w:rsidP="00C749DD">
      <w:r w:rsidRPr="00C749DD">
        <w:t>.</w:t>
      </w:r>
    </w:p>
    <w:p w14:paraId="793153B0" w14:textId="77777777" w:rsidR="00C749DD" w:rsidRPr="00C749DD" w:rsidRDefault="00C749DD" w:rsidP="00C749DD">
      <w:pPr>
        <w:numPr>
          <w:ilvl w:val="0"/>
          <w:numId w:val="1"/>
        </w:numPr>
      </w:pPr>
      <w:r w:rsidRPr="00C749DD">
        <w:rPr>
          <w:b/>
          <w:bCs/>
        </w:rPr>
        <w:t>Emphasis on Alternative Dispute Resolution (ADR)</w:t>
      </w:r>
      <w:r w:rsidRPr="00C749DD">
        <w:t>: Mediation and arbitration continue to grow as preferred mechanisms for resolving disputes efficiently. Courts increasingly encourage ADR to reduce case backlogs and expedite resolutions, often mandating pre-trial settlement efforts</w:t>
      </w:r>
      <w:r w:rsidRPr="00C749DD">
        <w:rPr>
          <w:rFonts w:ascii="Times New Roman" w:hAnsi="Times New Roman" w:cs="Times New Roman"/>
        </w:rPr>
        <w:t>​</w:t>
      </w:r>
    </w:p>
    <w:p w14:paraId="44B1AC11" w14:textId="77777777" w:rsidR="00F61FBC" w:rsidRDefault="00F61FBC"/>
    <w:sectPr w:rsidR="00F6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049AA"/>
    <w:multiLevelType w:val="multilevel"/>
    <w:tmpl w:val="90B4F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810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DD"/>
    <w:rsid w:val="000D66C5"/>
    <w:rsid w:val="00147708"/>
    <w:rsid w:val="00440B27"/>
    <w:rsid w:val="005F5BD2"/>
    <w:rsid w:val="006801C0"/>
    <w:rsid w:val="00C749DD"/>
    <w:rsid w:val="00DC3FDF"/>
    <w:rsid w:val="00F6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8D4C"/>
  <w15:chartTrackingRefBased/>
  <w15:docId w15:val="{289F6409-55C9-4268-8F58-E033032F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9D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C749D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C749DD"/>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C749D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C749D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C749DD"/>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749DD"/>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749DD"/>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749DD"/>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9D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C749D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C749DD"/>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C749D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C749D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C749D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749D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749D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749D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749DD"/>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749D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C749DD"/>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C749DD"/>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C749DD"/>
    <w:pPr>
      <w:spacing w:before="160"/>
      <w:jc w:val="center"/>
    </w:pPr>
    <w:rPr>
      <w:i/>
      <w:iCs/>
      <w:color w:val="404040" w:themeColor="text1" w:themeTint="BF"/>
    </w:rPr>
  </w:style>
  <w:style w:type="character" w:customStyle="1" w:styleId="QuoteChar">
    <w:name w:val="Quote Char"/>
    <w:basedOn w:val="DefaultParagraphFont"/>
    <w:link w:val="Quote"/>
    <w:uiPriority w:val="29"/>
    <w:rsid w:val="00C749DD"/>
    <w:rPr>
      <w:i/>
      <w:iCs/>
      <w:color w:val="404040" w:themeColor="text1" w:themeTint="BF"/>
    </w:rPr>
  </w:style>
  <w:style w:type="paragraph" w:styleId="ListParagraph">
    <w:name w:val="List Paragraph"/>
    <w:basedOn w:val="Normal"/>
    <w:uiPriority w:val="34"/>
    <w:qFormat/>
    <w:rsid w:val="00C749DD"/>
    <w:pPr>
      <w:ind w:left="720"/>
      <w:contextualSpacing/>
    </w:pPr>
  </w:style>
  <w:style w:type="character" w:styleId="IntenseEmphasis">
    <w:name w:val="Intense Emphasis"/>
    <w:basedOn w:val="DefaultParagraphFont"/>
    <w:uiPriority w:val="21"/>
    <w:qFormat/>
    <w:rsid w:val="00C749DD"/>
    <w:rPr>
      <w:i/>
      <w:iCs/>
      <w:color w:val="0F4761" w:themeColor="accent1" w:themeShade="BF"/>
    </w:rPr>
  </w:style>
  <w:style w:type="paragraph" w:styleId="IntenseQuote">
    <w:name w:val="Intense Quote"/>
    <w:basedOn w:val="Normal"/>
    <w:next w:val="Normal"/>
    <w:link w:val="IntenseQuoteChar"/>
    <w:uiPriority w:val="30"/>
    <w:qFormat/>
    <w:rsid w:val="00C74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9DD"/>
    <w:rPr>
      <w:i/>
      <w:iCs/>
      <w:color w:val="0F4761" w:themeColor="accent1" w:themeShade="BF"/>
    </w:rPr>
  </w:style>
  <w:style w:type="character" w:styleId="IntenseReference">
    <w:name w:val="Intense Reference"/>
    <w:basedOn w:val="DefaultParagraphFont"/>
    <w:uiPriority w:val="32"/>
    <w:qFormat/>
    <w:rsid w:val="00C749DD"/>
    <w:rPr>
      <w:b/>
      <w:bCs/>
      <w:smallCaps/>
      <w:color w:val="0F4761" w:themeColor="accent1" w:themeShade="BF"/>
      <w:spacing w:val="5"/>
    </w:rPr>
  </w:style>
  <w:style w:type="character" w:styleId="Hyperlink">
    <w:name w:val="Hyperlink"/>
    <w:basedOn w:val="DefaultParagraphFont"/>
    <w:uiPriority w:val="99"/>
    <w:unhideWhenUsed/>
    <w:rsid w:val="00C749DD"/>
    <w:rPr>
      <w:color w:val="467886" w:themeColor="hyperlink"/>
      <w:u w:val="single"/>
    </w:rPr>
  </w:style>
  <w:style w:type="character" w:styleId="UnresolvedMention">
    <w:name w:val="Unresolved Mention"/>
    <w:basedOn w:val="DefaultParagraphFont"/>
    <w:uiPriority w:val="99"/>
    <w:semiHidden/>
    <w:unhideWhenUsed/>
    <w:rsid w:val="00C74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207651">
      <w:bodyDiv w:val="1"/>
      <w:marLeft w:val="0"/>
      <w:marRight w:val="0"/>
      <w:marTop w:val="0"/>
      <w:marBottom w:val="0"/>
      <w:divBdr>
        <w:top w:val="none" w:sz="0" w:space="0" w:color="auto"/>
        <w:left w:val="none" w:sz="0" w:space="0" w:color="auto"/>
        <w:bottom w:val="none" w:sz="0" w:space="0" w:color="auto"/>
        <w:right w:val="none" w:sz="0" w:space="0" w:color="auto"/>
      </w:divBdr>
      <w:divsChild>
        <w:div w:id="1559852117">
          <w:marLeft w:val="0"/>
          <w:marRight w:val="0"/>
          <w:marTop w:val="0"/>
          <w:marBottom w:val="0"/>
          <w:divBdr>
            <w:top w:val="none" w:sz="0" w:space="0" w:color="auto"/>
            <w:left w:val="none" w:sz="0" w:space="0" w:color="auto"/>
            <w:bottom w:val="none" w:sz="0" w:space="0" w:color="auto"/>
            <w:right w:val="none" w:sz="0" w:space="0" w:color="auto"/>
          </w:divBdr>
          <w:divsChild>
            <w:div w:id="1049646212">
              <w:marLeft w:val="0"/>
              <w:marRight w:val="0"/>
              <w:marTop w:val="0"/>
              <w:marBottom w:val="0"/>
              <w:divBdr>
                <w:top w:val="none" w:sz="0" w:space="0" w:color="auto"/>
                <w:left w:val="none" w:sz="0" w:space="0" w:color="auto"/>
                <w:bottom w:val="none" w:sz="0" w:space="0" w:color="auto"/>
                <w:right w:val="none" w:sz="0" w:space="0" w:color="auto"/>
              </w:divBdr>
            </w:div>
          </w:divsChild>
        </w:div>
        <w:div w:id="1274753882">
          <w:marLeft w:val="0"/>
          <w:marRight w:val="0"/>
          <w:marTop w:val="0"/>
          <w:marBottom w:val="0"/>
          <w:divBdr>
            <w:top w:val="none" w:sz="0" w:space="0" w:color="auto"/>
            <w:left w:val="none" w:sz="0" w:space="0" w:color="auto"/>
            <w:bottom w:val="none" w:sz="0" w:space="0" w:color="auto"/>
            <w:right w:val="none" w:sz="0" w:space="0" w:color="auto"/>
          </w:divBdr>
          <w:divsChild>
            <w:div w:id="54857771">
              <w:marLeft w:val="0"/>
              <w:marRight w:val="0"/>
              <w:marTop w:val="0"/>
              <w:marBottom w:val="0"/>
              <w:divBdr>
                <w:top w:val="none" w:sz="0" w:space="0" w:color="auto"/>
                <w:left w:val="none" w:sz="0" w:space="0" w:color="auto"/>
                <w:bottom w:val="none" w:sz="0" w:space="0" w:color="auto"/>
                <w:right w:val="none" w:sz="0" w:space="0" w:color="auto"/>
              </w:divBdr>
              <w:divsChild>
                <w:div w:id="1875188551">
                  <w:marLeft w:val="0"/>
                  <w:marRight w:val="0"/>
                  <w:marTop w:val="0"/>
                  <w:marBottom w:val="0"/>
                  <w:divBdr>
                    <w:top w:val="none" w:sz="0" w:space="0" w:color="auto"/>
                    <w:left w:val="none" w:sz="0" w:space="0" w:color="auto"/>
                    <w:bottom w:val="none" w:sz="0" w:space="0" w:color="auto"/>
                    <w:right w:val="none" w:sz="0" w:space="0" w:color="auto"/>
                  </w:divBdr>
                  <w:divsChild>
                    <w:div w:id="44912153">
                      <w:marLeft w:val="0"/>
                      <w:marRight w:val="0"/>
                      <w:marTop w:val="0"/>
                      <w:marBottom w:val="0"/>
                      <w:divBdr>
                        <w:top w:val="none" w:sz="0" w:space="0" w:color="auto"/>
                        <w:left w:val="none" w:sz="0" w:space="0" w:color="auto"/>
                        <w:bottom w:val="none" w:sz="0" w:space="0" w:color="auto"/>
                        <w:right w:val="none" w:sz="0" w:space="0" w:color="auto"/>
                      </w:divBdr>
                    </w:div>
                    <w:div w:id="573508484">
                      <w:marLeft w:val="0"/>
                      <w:marRight w:val="0"/>
                      <w:marTop w:val="0"/>
                      <w:marBottom w:val="0"/>
                      <w:divBdr>
                        <w:top w:val="none" w:sz="0" w:space="0" w:color="auto"/>
                        <w:left w:val="none" w:sz="0" w:space="0" w:color="auto"/>
                        <w:bottom w:val="none" w:sz="0" w:space="0" w:color="auto"/>
                        <w:right w:val="none" w:sz="0" w:space="0" w:color="auto"/>
                      </w:divBdr>
                    </w:div>
                    <w:div w:id="1611937439">
                      <w:marLeft w:val="0"/>
                      <w:marRight w:val="0"/>
                      <w:marTop w:val="0"/>
                      <w:marBottom w:val="0"/>
                      <w:divBdr>
                        <w:top w:val="none" w:sz="0" w:space="0" w:color="auto"/>
                        <w:left w:val="none" w:sz="0" w:space="0" w:color="auto"/>
                        <w:bottom w:val="none" w:sz="0" w:space="0" w:color="auto"/>
                        <w:right w:val="none" w:sz="0" w:space="0" w:color="auto"/>
                      </w:divBdr>
                    </w:div>
                    <w:div w:id="96144017">
                      <w:marLeft w:val="0"/>
                      <w:marRight w:val="0"/>
                      <w:marTop w:val="0"/>
                      <w:marBottom w:val="0"/>
                      <w:divBdr>
                        <w:top w:val="none" w:sz="0" w:space="0" w:color="auto"/>
                        <w:left w:val="none" w:sz="0" w:space="0" w:color="auto"/>
                        <w:bottom w:val="none" w:sz="0" w:space="0" w:color="auto"/>
                        <w:right w:val="none" w:sz="0" w:space="0" w:color="auto"/>
                      </w:divBdr>
                    </w:div>
                    <w:div w:id="1678115511">
                      <w:marLeft w:val="0"/>
                      <w:marRight w:val="0"/>
                      <w:marTop w:val="0"/>
                      <w:marBottom w:val="0"/>
                      <w:divBdr>
                        <w:top w:val="none" w:sz="0" w:space="0" w:color="auto"/>
                        <w:left w:val="none" w:sz="0" w:space="0" w:color="auto"/>
                        <w:bottom w:val="none" w:sz="0" w:space="0" w:color="auto"/>
                        <w:right w:val="none" w:sz="0" w:space="0" w:color="auto"/>
                      </w:divBdr>
                    </w:div>
                    <w:div w:id="1090932478">
                      <w:marLeft w:val="0"/>
                      <w:marRight w:val="0"/>
                      <w:marTop w:val="0"/>
                      <w:marBottom w:val="0"/>
                      <w:divBdr>
                        <w:top w:val="none" w:sz="0" w:space="0" w:color="auto"/>
                        <w:left w:val="none" w:sz="0" w:space="0" w:color="auto"/>
                        <w:bottom w:val="none" w:sz="0" w:space="0" w:color="auto"/>
                        <w:right w:val="none" w:sz="0" w:space="0" w:color="auto"/>
                      </w:divBdr>
                    </w:div>
                    <w:div w:id="533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96949">
      <w:bodyDiv w:val="1"/>
      <w:marLeft w:val="0"/>
      <w:marRight w:val="0"/>
      <w:marTop w:val="0"/>
      <w:marBottom w:val="0"/>
      <w:divBdr>
        <w:top w:val="none" w:sz="0" w:space="0" w:color="auto"/>
        <w:left w:val="none" w:sz="0" w:space="0" w:color="auto"/>
        <w:bottom w:val="none" w:sz="0" w:space="0" w:color="auto"/>
        <w:right w:val="none" w:sz="0" w:space="0" w:color="auto"/>
      </w:divBdr>
      <w:divsChild>
        <w:div w:id="364213807">
          <w:marLeft w:val="0"/>
          <w:marRight w:val="0"/>
          <w:marTop w:val="0"/>
          <w:marBottom w:val="0"/>
          <w:divBdr>
            <w:top w:val="none" w:sz="0" w:space="0" w:color="auto"/>
            <w:left w:val="none" w:sz="0" w:space="0" w:color="auto"/>
            <w:bottom w:val="none" w:sz="0" w:space="0" w:color="auto"/>
            <w:right w:val="none" w:sz="0" w:space="0" w:color="auto"/>
          </w:divBdr>
          <w:divsChild>
            <w:div w:id="90049924">
              <w:marLeft w:val="0"/>
              <w:marRight w:val="0"/>
              <w:marTop w:val="0"/>
              <w:marBottom w:val="0"/>
              <w:divBdr>
                <w:top w:val="none" w:sz="0" w:space="0" w:color="auto"/>
                <w:left w:val="none" w:sz="0" w:space="0" w:color="auto"/>
                <w:bottom w:val="none" w:sz="0" w:space="0" w:color="auto"/>
                <w:right w:val="none" w:sz="0" w:space="0" w:color="auto"/>
              </w:divBdr>
            </w:div>
          </w:divsChild>
        </w:div>
        <w:div w:id="1391491588">
          <w:marLeft w:val="0"/>
          <w:marRight w:val="0"/>
          <w:marTop w:val="0"/>
          <w:marBottom w:val="0"/>
          <w:divBdr>
            <w:top w:val="none" w:sz="0" w:space="0" w:color="auto"/>
            <w:left w:val="none" w:sz="0" w:space="0" w:color="auto"/>
            <w:bottom w:val="none" w:sz="0" w:space="0" w:color="auto"/>
            <w:right w:val="none" w:sz="0" w:space="0" w:color="auto"/>
          </w:divBdr>
          <w:divsChild>
            <w:div w:id="2058501897">
              <w:marLeft w:val="0"/>
              <w:marRight w:val="0"/>
              <w:marTop w:val="0"/>
              <w:marBottom w:val="0"/>
              <w:divBdr>
                <w:top w:val="none" w:sz="0" w:space="0" w:color="auto"/>
                <w:left w:val="none" w:sz="0" w:space="0" w:color="auto"/>
                <w:bottom w:val="none" w:sz="0" w:space="0" w:color="auto"/>
                <w:right w:val="none" w:sz="0" w:space="0" w:color="auto"/>
              </w:divBdr>
              <w:divsChild>
                <w:div w:id="818158080">
                  <w:marLeft w:val="0"/>
                  <w:marRight w:val="0"/>
                  <w:marTop w:val="0"/>
                  <w:marBottom w:val="0"/>
                  <w:divBdr>
                    <w:top w:val="none" w:sz="0" w:space="0" w:color="auto"/>
                    <w:left w:val="none" w:sz="0" w:space="0" w:color="auto"/>
                    <w:bottom w:val="none" w:sz="0" w:space="0" w:color="auto"/>
                    <w:right w:val="none" w:sz="0" w:space="0" w:color="auto"/>
                  </w:divBdr>
                  <w:divsChild>
                    <w:div w:id="1565531841">
                      <w:marLeft w:val="0"/>
                      <w:marRight w:val="0"/>
                      <w:marTop w:val="0"/>
                      <w:marBottom w:val="0"/>
                      <w:divBdr>
                        <w:top w:val="none" w:sz="0" w:space="0" w:color="auto"/>
                        <w:left w:val="none" w:sz="0" w:space="0" w:color="auto"/>
                        <w:bottom w:val="none" w:sz="0" w:space="0" w:color="auto"/>
                        <w:right w:val="none" w:sz="0" w:space="0" w:color="auto"/>
                      </w:divBdr>
                    </w:div>
                    <w:div w:id="1907371150">
                      <w:marLeft w:val="0"/>
                      <w:marRight w:val="0"/>
                      <w:marTop w:val="0"/>
                      <w:marBottom w:val="0"/>
                      <w:divBdr>
                        <w:top w:val="none" w:sz="0" w:space="0" w:color="auto"/>
                        <w:left w:val="none" w:sz="0" w:space="0" w:color="auto"/>
                        <w:bottom w:val="none" w:sz="0" w:space="0" w:color="auto"/>
                        <w:right w:val="none" w:sz="0" w:space="0" w:color="auto"/>
                      </w:divBdr>
                    </w:div>
                    <w:div w:id="1356148986">
                      <w:marLeft w:val="0"/>
                      <w:marRight w:val="0"/>
                      <w:marTop w:val="0"/>
                      <w:marBottom w:val="0"/>
                      <w:divBdr>
                        <w:top w:val="none" w:sz="0" w:space="0" w:color="auto"/>
                        <w:left w:val="none" w:sz="0" w:space="0" w:color="auto"/>
                        <w:bottom w:val="none" w:sz="0" w:space="0" w:color="auto"/>
                        <w:right w:val="none" w:sz="0" w:space="0" w:color="auto"/>
                      </w:divBdr>
                    </w:div>
                    <w:div w:id="86730321">
                      <w:marLeft w:val="0"/>
                      <w:marRight w:val="0"/>
                      <w:marTop w:val="0"/>
                      <w:marBottom w:val="0"/>
                      <w:divBdr>
                        <w:top w:val="none" w:sz="0" w:space="0" w:color="auto"/>
                        <w:left w:val="none" w:sz="0" w:space="0" w:color="auto"/>
                        <w:bottom w:val="none" w:sz="0" w:space="0" w:color="auto"/>
                        <w:right w:val="none" w:sz="0" w:space="0" w:color="auto"/>
                      </w:divBdr>
                    </w:div>
                    <w:div w:id="1433548330">
                      <w:marLeft w:val="0"/>
                      <w:marRight w:val="0"/>
                      <w:marTop w:val="0"/>
                      <w:marBottom w:val="0"/>
                      <w:divBdr>
                        <w:top w:val="none" w:sz="0" w:space="0" w:color="auto"/>
                        <w:left w:val="none" w:sz="0" w:space="0" w:color="auto"/>
                        <w:bottom w:val="none" w:sz="0" w:space="0" w:color="auto"/>
                        <w:right w:val="none" w:sz="0" w:space="0" w:color="auto"/>
                      </w:divBdr>
                    </w:div>
                    <w:div w:id="1947156827">
                      <w:marLeft w:val="0"/>
                      <w:marRight w:val="0"/>
                      <w:marTop w:val="0"/>
                      <w:marBottom w:val="0"/>
                      <w:divBdr>
                        <w:top w:val="none" w:sz="0" w:space="0" w:color="auto"/>
                        <w:left w:val="none" w:sz="0" w:space="0" w:color="auto"/>
                        <w:bottom w:val="none" w:sz="0" w:space="0" w:color="auto"/>
                        <w:right w:val="none" w:sz="0" w:space="0" w:color="auto"/>
                      </w:divBdr>
                    </w:div>
                    <w:div w:id="15256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ntuslaw.com/business-of-law/7-legal-tech-trends-to-watch-in-2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ductuslegal.com/legaltech-trends-to-watch-in-2025-implications-for-global-law-firms-and-gc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uctuslegal.com/legaltech-trends-to-watch-in-2025-implications-for-global-law-firms-and-gccs/" TargetMode="External"/><Relationship Id="rId11" Type="http://schemas.openxmlformats.org/officeDocument/2006/relationships/hyperlink" Target="https://bticonsulting.com/themadclientist/top-7-trends-in-litigation-in-2025-more-complexity-more-spending-on-outside-counsel" TargetMode="External"/><Relationship Id="rId5" Type="http://schemas.openxmlformats.org/officeDocument/2006/relationships/hyperlink" Target="https://bticonsulting.com/themadclientist/top-7-trends-in-litigation-in-2025-more-complexity-more-spending-on-outside-counsel" TargetMode="External"/><Relationship Id="rId10" Type="http://schemas.openxmlformats.org/officeDocument/2006/relationships/hyperlink" Target="https://conventuslaw.com/business-of-law/7-legal-tech-trends-to-watch-in-2025/" TargetMode="External"/><Relationship Id="rId4" Type="http://schemas.openxmlformats.org/officeDocument/2006/relationships/webSettings" Target="webSettings.xml"/><Relationship Id="rId9" Type="http://schemas.openxmlformats.org/officeDocument/2006/relationships/hyperlink" Target="https://bticonsulting.com/themadclientist/top-7-trends-in-litigation-in-2025-more-complexity-more-spending-on-outside-coun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2256</Characters>
  <Application>Microsoft Office Word</Application>
  <DocSecurity>0</DocSecurity>
  <Lines>77</Lines>
  <Paragraphs>43</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1</cp:revision>
  <dcterms:created xsi:type="dcterms:W3CDTF">2024-12-05T15:39:00Z</dcterms:created>
  <dcterms:modified xsi:type="dcterms:W3CDTF">2024-12-05T15:40:00Z</dcterms:modified>
</cp:coreProperties>
</file>