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653F6" w14:textId="77777777" w:rsidR="006232D4" w:rsidRPr="006232D4" w:rsidRDefault="006232D4" w:rsidP="006232D4">
      <w:r w:rsidRPr="006232D4">
        <w:t>Searched 5 sites</w:t>
      </w:r>
    </w:p>
    <w:p w14:paraId="742FE0E7" w14:textId="77777777" w:rsidR="006232D4" w:rsidRPr="006232D4" w:rsidRDefault="006232D4" w:rsidP="006232D4">
      <w:r w:rsidRPr="006232D4">
        <w:t>New trends in trial court funding are emphasizing reforms aimed at stability, equity, and modernization. Key developments include:</w:t>
      </w:r>
    </w:p>
    <w:p w14:paraId="6BD3E445" w14:textId="77777777" w:rsidR="006232D4" w:rsidRPr="006232D4" w:rsidRDefault="006232D4" w:rsidP="006232D4">
      <w:pPr>
        <w:numPr>
          <w:ilvl w:val="0"/>
          <w:numId w:val="1"/>
        </w:numPr>
      </w:pPr>
      <w:r w:rsidRPr="006232D4">
        <w:rPr>
          <w:b/>
          <w:bCs/>
        </w:rPr>
        <w:t>Stable Funding Models</w:t>
      </w:r>
      <w:r w:rsidRPr="006232D4">
        <w:t>: Many states, such as Michigan, are moving towards centralized and stable funding systems. Recommendations from task forces like Michigan's Trial Court Funding Commission highlight the need to reduce reliance on fines and fees imposed on defendants, which have created ethical dilemmas and disparities</w:t>
      </w:r>
      <w:r w:rsidRPr="006232D4">
        <w:rPr>
          <w:rFonts w:ascii="Times New Roman" w:hAnsi="Times New Roman" w:cs="Times New Roman"/>
        </w:rPr>
        <w:t>​</w:t>
      </w:r>
    </w:p>
    <w:p w14:paraId="3AE909B4" w14:textId="77777777" w:rsidR="006232D4" w:rsidRPr="006232D4" w:rsidRDefault="006232D4" w:rsidP="006232D4">
      <w:hyperlink r:id="rId5" w:tgtFrame="_blank" w:history="1">
        <w:r w:rsidRPr="006232D4">
          <w:rPr>
            <w:rStyle w:val="Hyperlink"/>
          </w:rPr>
          <w:t>NCSC</w:t>
        </w:r>
      </w:hyperlink>
    </w:p>
    <w:p w14:paraId="192601C1" w14:textId="77777777" w:rsidR="006232D4" w:rsidRPr="006232D4" w:rsidRDefault="006232D4" w:rsidP="006232D4">
      <w:r w:rsidRPr="006232D4">
        <w:rPr>
          <w:rFonts w:ascii="Times New Roman" w:hAnsi="Times New Roman" w:cs="Times New Roman"/>
        </w:rPr>
        <w:t>​</w:t>
      </w:r>
    </w:p>
    <w:p w14:paraId="621E07E7" w14:textId="77777777" w:rsidR="006232D4" w:rsidRPr="006232D4" w:rsidRDefault="006232D4" w:rsidP="006232D4">
      <w:hyperlink r:id="rId6" w:tgtFrame="_blank" w:history="1">
        <w:r w:rsidRPr="006232D4">
          <w:rPr>
            <w:rStyle w:val="Hyperlink"/>
          </w:rPr>
          <w:t>The Michigan Association of Counties</w:t>
        </w:r>
      </w:hyperlink>
    </w:p>
    <w:p w14:paraId="35220B00" w14:textId="77777777" w:rsidR="006232D4" w:rsidRPr="006232D4" w:rsidRDefault="006232D4" w:rsidP="006232D4">
      <w:r w:rsidRPr="006232D4">
        <w:t>.</w:t>
      </w:r>
    </w:p>
    <w:p w14:paraId="760CCFEB" w14:textId="77777777" w:rsidR="006232D4" w:rsidRPr="006232D4" w:rsidRDefault="006232D4" w:rsidP="006232D4">
      <w:pPr>
        <w:numPr>
          <w:ilvl w:val="0"/>
          <w:numId w:val="1"/>
        </w:numPr>
      </w:pPr>
      <w:r w:rsidRPr="006232D4">
        <w:rPr>
          <w:b/>
          <w:bCs/>
        </w:rPr>
        <w:t>Technological Upgrades</w:t>
      </w:r>
      <w:r w:rsidRPr="006232D4">
        <w:t>: State court systems are prioritizing investments in technology, including centralized data systems and AI tools, to enhance efficiency and service delivery. This includes adopting uniform platforms to reduce fragmentation and improve data sharing</w:t>
      </w:r>
      <w:r w:rsidRPr="006232D4">
        <w:rPr>
          <w:rFonts w:ascii="Times New Roman" w:hAnsi="Times New Roman" w:cs="Times New Roman"/>
        </w:rPr>
        <w:t>​</w:t>
      </w:r>
    </w:p>
    <w:p w14:paraId="6491712A" w14:textId="77777777" w:rsidR="006232D4" w:rsidRPr="006232D4" w:rsidRDefault="006232D4" w:rsidP="006232D4">
      <w:hyperlink r:id="rId7" w:tgtFrame="_blank" w:history="1">
        <w:r w:rsidRPr="006232D4">
          <w:rPr>
            <w:rStyle w:val="Hyperlink"/>
          </w:rPr>
          <w:t>NCSC</w:t>
        </w:r>
      </w:hyperlink>
    </w:p>
    <w:p w14:paraId="3AAF4FC5" w14:textId="77777777" w:rsidR="006232D4" w:rsidRPr="006232D4" w:rsidRDefault="006232D4" w:rsidP="006232D4">
      <w:r w:rsidRPr="006232D4">
        <w:rPr>
          <w:rFonts w:ascii="Times New Roman" w:hAnsi="Times New Roman" w:cs="Times New Roman"/>
        </w:rPr>
        <w:t>​</w:t>
      </w:r>
    </w:p>
    <w:p w14:paraId="7294078A" w14:textId="77777777" w:rsidR="006232D4" w:rsidRPr="006232D4" w:rsidRDefault="006232D4" w:rsidP="006232D4">
      <w:hyperlink r:id="rId8" w:tgtFrame="_blank" w:history="1">
        <w:r w:rsidRPr="006232D4">
          <w:rPr>
            <w:rStyle w:val="Hyperlink"/>
          </w:rPr>
          <w:t>NCSC</w:t>
        </w:r>
      </w:hyperlink>
    </w:p>
    <w:p w14:paraId="33F22435" w14:textId="77777777" w:rsidR="006232D4" w:rsidRPr="006232D4" w:rsidRDefault="006232D4" w:rsidP="006232D4">
      <w:r w:rsidRPr="006232D4">
        <w:t>.</w:t>
      </w:r>
    </w:p>
    <w:p w14:paraId="6B63CE75" w14:textId="77777777" w:rsidR="006232D4" w:rsidRPr="006232D4" w:rsidRDefault="006232D4" w:rsidP="006232D4">
      <w:pPr>
        <w:numPr>
          <w:ilvl w:val="0"/>
          <w:numId w:val="1"/>
        </w:numPr>
      </w:pPr>
      <w:r w:rsidRPr="006232D4">
        <w:rPr>
          <w:b/>
          <w:bCs/>
        </w:rPr>
        <w:t>Uniform Cost Assessments</w:t>
      </w:r>
      <w:r w:rsidRPr="006232D4">
        <w:t>: There is a push for standardized fees and assessments across jurisdictions to promote fairness, with some states exploring centralized collection systems to relieve courts from acting as revenue collectors</w:t>
      </w:r>
      <w:r w:rsidRPr="006232D4">
        <w:rPr>
          <w:rFonts w:ascii="Times New Roman" w:hAnsi="Times New Roman" w:cs="Times New Roman"/>
        </w:rPr>
        <w:t>​</w:t>
      </w:r>
    </w:p>
    <w:p w14:paraId="6EF44A19" w14:textId="77777777" w:rsidR="006232D4" w:rsidRPr="006232D4" w:rsidRDefault="006232D4" w:rsidP="006232D4">
      <w:hyperlink r:id="rId9" w:tgtFrame="_blank" w:history="1">
        <w:r w:rsidRPr="006232D4">
          <w:rPr>
            <w:rStyle w:val="Hyperlink"/>
          </w:rPr>
          <w:t>NCSC</w:t>
        </w:r>
      </w:hyperlink>
    </w:p>
    <w:p w14:paraId="2CCB9AFE" w14:textId="77777777" w:rsidR="006232D4" w:rsidRPr="006232D4" w:rsidRDefault="006232D4" w:rsidP="006232D4">
      <w:r w:rsidRPr="006232D4">
        <w:rPr>
          <w:rFonts w:ascii="Times New Roman" w:hAnsi="Times New Roman" w:cs="Times New Roman"/>
        </w:rPr>
        <w:t>​</w:t>
      </w:r>
    </w:p>
    <w:p w14:paraId="1A05CA22" w14:textId="77777777" w:rsidR="006232D4" w:rsidRPr="006232D4" w:rsidRDefault="006232D4" w:rsidP="006232D4">
      <w:hyperlink r:id="rId10" w:tgtFrame="_blank" w:history="1">
        <w:r w:rsidRPr="006232D4">
          <w:rPr>
            <w:rStyle w:val="Hyperlink"/>
          </w:rPr>
          <w:t>The Michigan Association of Counties</w:t>
        </w:r>
      </w:hyperlink>
    </w:p>
    <w:p w14:paraId="6B28353E" w14:textId="77777777" w:rsidR="006232D4" w:rsidRPr="006232D4" w:rsidRDefault="006232D4" w:rsidP="006232D4">
      <w:r w:rsidRPr="006232D4">
        <w:t>.</w:t>
      </w:r>
    </w:p>
    <w:p w14:paraId="008F82E3" w14:textId="77777777" w:rsidR="006232D4" w:rsidRPr="006232D4" w:rsidRDefault="006232D4" w:rsidP="006232D4">
      <w:pPr>
        <w:numPr>
          <w:ilvl w:val="0"/>
          <w:numId w:val="1"/>
        </w:numPr>
      </w:pPr>
      <w:r w:rsidRPr="006232D4">
        <w:rPr>
          <w:b/>
          <w:bCs/>
        </w:rPr>
        <w:t>Transition to State-Supported Personnel</w:t>
      </w:r>
      <w:r w:rsidRPr="006232D4">
        <w:t xml:space="preserve">: Efforts are underway to transition court employees from county to state employment to ensure uniformity in pay, </w:t>
      </w:r>
      <w:r w:rsidRPr="006232D4">
        <w:lastRenderedPageBreak/>
        <w:t>benefits, and professional standards. This includes plans to phase in new employment systems starting with judges and eventually covering all staff</w:t>
      </w:r>
      <w:r w:rsidRPr="006232D4">
        <w:rPr>
          <w:rFonts w:ascii="Times New Roman" w:hAnsi="Times New Roman" w:cs="Times New Roman"/>
        </w:rPr>
        <w:t>​</w:t>
      </w:r>
    </w:p>
    <w:p w14:paraId="1C9CFF94" w14:textId="77777777" w:rsidR="006232D4" w:rsidRPr="006232D4" w:rsidRDefault="006232D4" w:rsidP="006232D4">
      <w:hyperlink r:id="rId11" w:tgtFrame="_blank" w:history="1">
        <w:r w:rsidRPr="006232D4">
          <w:rPr>
            <w:rStyle w:val="Hyperlink"/>
          </w:rPr>
          <w:t>The Michigan Association of Counties</w:t>
        </w:r>
      </w:hyperlink>
    </w:p>
    <w:p w14:paraId="4E05A4B0" w14:textId="77777777" w:rsidR="006232D4" w:rsidRPr="006232D4" w:rsidRDefault="006232D4" w:rsidP="006232D4">
      <w:r w:rsidRPr="006232D4">
        <w:t>.</w:t>
      </w:r>
    </w:p>
    <w:p w14:paraId="498BC3B3" w14:textId="77777777" w:rsidR="006232D4" w:rsidRPr="006232D4" w:rsidRDefault="006232D4" w:rsidP="006232D4">
      <w:pPr>
        <w:numPr>
          <w:ilvl w:val="0"/>
          <w:numId w:val="1"/>
        </w:numPr>
      </w:pPr>
      <w:r w:rsidRPr="006232D4">
        <w:rPr>
          <w:b/>
          <w:bCs/>
        </w:rPr>
        <w:t>Remote and Hybrid Models</w:t>
      </w:r>
      <w:r w:rsidRPr="006232D4">
        <w:t>: Innovations like remote hearings continue to reshape operations, particularly in family and domestic violence courts. These approaches aim to balance accessibility with maintaining perceptions of fairness in judicial processes</w:t>
      </w:r>
      <w:r w:rsidRPr="006232D4">
        <w:rPr>
          <w:rFonts w:ascii="Times New Roman" w:hAnsi="Times New Roman" w:cs="Times New Roman"/>
        </w:rPr>
        <w:t>​</w:t>
      </w:r>
    </w:p>
    <w:p w14:paraId="11DF7E66" w14:textId="77777777" w:rsidR="006232D4" w:rsidRPr="006232D4" w:rsidRDefault="006232D4" w:rsidP="006232D4">
      <w:hyperlink r:id="rId12" w:tgtFrame="_blank" w:history="1">
        <w:r w:rsidRPr="006232D4">
          <w:rPr>
            <w:rStyle w:val="Hyperlink"/>
          </w:rPr>
          <w:t>NCSC</w:t>
        </w:r>
      </w:hyperlink>
    </w:p>
    <w:p w14:paraId="4600D6C3" w14:textId="77777777" w:rsidR="006232D4" w:rsidRPr="006232D4" w:rsidRDefault="006232D4" w:rsidP="006232D4">
      <w:r w:rsidRPr="006232D4">
        <w:rPr>
          <w:rFonts w:ascii="Times New Roman" w:hAnsi="Times New Roman" w:cs="Times New Roman"/>
        </w:rPr>
        <w:t>​</w:t>
      </w:r>
    </w:p>
    <w:p w14:paraId="293BCA29" w14:textId="77777777" w:rsidR="006232D4" w:rsidRPr="006232D4" w:rsidRDefault="006232D4" w:rsidP="006232D4">
      <w:hyperlink r:id="rId13" w:tgtFrame="_blank" w:history="1">
        <w:r w:rsidRPr="006232D4">
          <w:rPr>
            <w:rStyle w:val="Hyperlink"/>
          </w:rPr>
          <w:t>NCSC</w:t>
        </w:r>
      </w:hyperlink>
    </w:p>
    <w:p w14:paraId="75C76022" w14:textId="77777777" w:rsidR="006232D4" w:rsidRPr="006232D4" w:rsidRDefault="006232D4" w:rsidP="006232D4">
      <w:r w:rsidRPr="006232D4">
        <w:t>.</w:t>
      </w:r>
    </w:p>
    <w:p w14:paraId="7CBFDF00" w14:textId="77777777" w:rsidR="006232D4" w:rsidRPr="006232D4" w:rsidRDefault="006232D4" w:rsidP="006232D4">
      <w:r w:rsidRPr="006232D4">
        <w:t>Overall, these trends reflect a shift toward systemic reforms that prioritize justice, technological adaptation, and financial equity in trial courts. If you'd like further details on specific initiatives, let me know!</w:t>
      </w:r>
    </w:p>
    <w:p w14:paraId="26E28498" w14:textId="77777777" w:rsidR="00F61FBC" w:rsidRDefault="00F61FBC"/>
    <w:sectPr w:rsidR="00F61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94B30"/>
    <w:multiLevelType w:val="multilevel"/>
    <w:tmpl w:val="6D74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3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D4"/>
    <w:rsid w:val="000D66C5"/>
    <w:rsid w:val="00147708"/>
    <w:rsid w:val="00440B27"/>
    <w:rsid w:val="005F5BD2"/>
    <w:rsid w:val="006232D4"/>
    <w:rsid w:val="006801C0"/>
    <w:rsid w:val="00DC3FDF"/>
    <w:rsid w:val="00F6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12C3F"/>
  <w15:chartTrackingRefBased/>
  <w15:docId w15:val="{F867D3EE-D380-4E48-B40C-A65F93B3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2D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6232D4"/>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6232D4"/>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6232D4"/>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6232D4"/>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6232D4"/>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6232D4"/>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6232D4"/>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6232D4"/>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2D4"/>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6232D4"/>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6232D4"/>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6232D4"/>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6232D4"/>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6232D4"/>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6232D4"/>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6232D4"/>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6232D4"/>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6232D4"/>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6232D4"/>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6232D4"/>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6232D4"/>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6232D4"/>
    <w:pPr>
      <w:spacing w:before="160"/>
      <w:jc w:val="center"/>
    </w:pPr>
    <w:rPr>
      <w:i/>
      <w:iCs/>
      <w:color w:val="404040" w:themeColor="text1" w:themeTint="BF"/>
    </w:rPr>
  </w:style>
  <w:style w:type="character" w:customStyle="1" w:styleId="QuoteChar">
    <w:name w:val="Quote Char"/>
    <w:basedOn w:val="DefaultParagraphFont"/>
    <w:link w:val="Quote"/>
    <w:uiPriority w:val="29"/>
    <w:rsid w:val="006232D4"/>
    <w:rPr>
      <w:i/>
      <w:iCs/>
      <w:color w:val="404040" w:themeColor="text1" w:themeTint="BF"/>
    </w:rPr>
  </w:style>
  <w:style w:type="paragraph" w:styleId="ListParagraph">
    <w:name w:val="List Paragraph"/>
    <w:basedOn w:val="Normal"/>
    <w:uiPriority w:val="34"/>
    <w:qFormat/>
    <w:rsid w:val="006232D4"/>
    <w:pPr>
      <w:ind w:left="720"/>
      <w:contextualSpacing/>
    </w:pPr>
  </w:style>
  <w:style w:type="character" w:styleId="IntenseEmphasis">
    <w:name w:val="Intense Emphasis"/>
    <w:basedOn w:val="DefaultParagraphFont"/>
    <w:uiPriority w:val="21"/>
    <w:qFormat/>
    <w:rsid w:val="006232D4"/>
    <w:rPr>
      <w:i/>
      <w:iCs/>
      <w:color w:val="0F4761" w:themeColor="accent1" w:themeShade="BF"/>
    </w:rPr>
  </w:style>
  <w:style w:type="paragraph" w:styleId="IntenseQuote">
    <w:name w:val="Intense Quote"/>
    <w:basedOn w:val="Normal"/>
    <w:next w:val="Normal"/>
    <w:link w:val="IntenseQuoteChar"/>
    <w:uiPriority w:val="30"/>
    <w:qFormat/>
    <w:rsid w:val="00623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2D4"/>
    <w:rPr>
      <w:i/>
      <w:iCs/>
      <w:color w:val="0F4761" w:themeColor="accent1" w:themeShade="BF"/>
    </w:rPr>
  </w:style>
  <w:style w:type="character" w:styleId="IntenseReference">
    <w:name w:val="Intense Reference"/>
    <w:basedOn w:val="DefaultParagraphFont"/>
    <w:uiPriority w:val="32"/>
    <w:qFormat/>
    <w:rsid w:val="006232D4"/>
    <w:rPr>
      <w:b/>
      <w:bCs/>
      <w:smallCaps/>
      <w:color w:val="0F4761" w:themeColor="accent1" w:themeShade="BF"/>
      <w:spacing w:val="5"/>
    </w:rPr>
  </w:style>
  <w:style w:type="character" w:styleId="Hyperlink">
    <w:name w:val="Hyperlink"/>
    <w:basedOn w:val="DefaultParagraphFont"/>
    <w:uiPriority w:val="99"/>
    <w:unhideWhenUsed/>
    <w:rsid w:val="006232D4"/>
    <w:rPr>
      <w:color w:val="467886" w:themeColor="hyperlink"/>
      <w:u w:val="single"/>
    </w:rPr>
  </w:style>
  <w:style w:type="character" w:styleId="UnresolvedMention">
    <w:name w:val="Unresolved Mention"/>
    <w:basedOn w:val="DefaultParagraphFont"/>
    <w:uiPriority w:val="99"/>
    <w:semiHidden/>
    <w:unhideWhenUsed/>
    <w:rsid w:val="0062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971900">
      <w:bodyDiv w:val="1"/>
      <w:marLeft w:val="0"/>
      <w:marRight w:val="0"/>
      <w:marTop w:val="0"/>
      <w:marBottom w:val="0"/>
      <w:divBdr>
        <w:top w:val="none" w:sz="0" w:space="0" w:color="auto"/>
        <w:left w:val="none" w:sz="0" w:space="0" w:color="auto"/>
        <w:bottom w:val="none" w:sz="0" w:space="0" w:color="auto"/>
        <w:right w:val="none" w:sz="0" w:space="0" w:color="auto"/>
      </w:divBdr>
      <w:divsChild>
        <w:div w:id="2144081892">
          <w:marLeft w:val="0"/>
          <w:marRight w:val="0"/>
          <w:marTop w:val="0"/>
          <w:marBottom w:val="0"/>
          <w:divBdr>
            <w:top w:val="none" w:sz="0" w:space="0" w:color="auto"/>
            <w:left w:val="none" w:sz="0" w:space="0" w:color="auto"/>
            <w:bottom w:val="none" w:sz="0" w:space="0" w:color="auto"/>
            <w:right w:val="none" w:sz="0" w:space="0" w:color="auto"/>
          </w:divBdr>
          <w:divsChild>
            <w:div w:id="46688597">
              <w:marLeft w:val="0"/>
              <w:marRight w:val="0"/>
              <w:marTop w:val="0"/>
              <w:marBottom w:val="0"/>
              <w:divBdr>
                <w:top w:val="none" w:sz="0" w:space="0" w:color="auto"/>
                <w:left w:val="none" w:sz="0" w:space="0" w:color="auto"/>
                <w:bottom w:val="none" w:sz="0" w:space="0" w:color="auto"/>
                <w:right w:val="none" w:sz="0" w:space="0" w:color="auto"/>
              </w:divBdr>
            </w:div>
          </w:divsChild>
        </w:div>
        <w:div w:id="1007099251">
          <w:marLeft w:val="0"/>
          <w:marRight w:val="0"/>
          <w:marTop w:val="0"/>
          <w:marBottom w:val="0"/>
          <w:divBdr>
            <w:top w:val="none" w:sz="0" w:space="0" w:color="auto"/>
            <w:left w:val="none" w:sz="0" w:space="0" w:color="auto"/>
            <w:bottom w:val="none" w:sz="0" w:space="0" w:color="auto"/>
            <w:right w:val="none" w:sz="0" w:space="0" w:color="auto"/>
          </w:divBdr>
          <w:divsChild>
            <w:div w:id="1477723849">
              <w:marLeft w:val="0"/>
              <w:marRight w:val="0"/>
              <w:marTop w:val="0"/>
              <w:marBottom w:val="0"/>
              <w:divBdr>
                <w:top w:val="none" w:sz="0" w:space="0" w:color="auto"/>
                <w:left w:val="none" w:sz="0" w:space="0" w:color="auto"/>
                <w:bottom w:val="none" w:sz="0" w:space="0" w:color="auto"/>
                <w:right w:val="none" w:sz="0" w:space="0" w:color="auto"/>
              </w:divBdr>
              <w:divsChild>
                <w:div w:id="49546039">
                  <w:marLeft w:val="0"/>
                  <w:marRight w:val="0"/>
                  <w:marTop w:val="0"/>
                  <w:marBottom w:val="0"/>
                  <w:divBdr>
                    <w:top w:val="none" w:sz="0" w:space="0" w:color="auto"/>
                    <w:left w:val="none" w:sz="0" w:space="0" w:color="auto"/>
                    <w:bottom w:val="none" w:sz="0" w:space="0" w:color="auto"/>
                    <w:right w:val="none" w:sz="0" w:space="0" w:color="auto"/>
                  </w:divBdr>
                  <w:divsChild>
                    <w:div w:id="2045401290">
                      <w:marLeft w:val="0"/>
                      <w:marRight w:val="0"/>
                      <w:marTop w:val="0"/>
                      <w:marBottom w:val="0"/>
                      <w:divBdr>
                        <w:top w:val="none" w:sz="0" w:space="0" w:color="auto"/>
                        <w:left w:val="none" w:sz="0" w:space="0" w:color="auto"/>
                        <w:bottom w:val="none" w:sz="0" w:space="0" w:color="auto"/>
                        <w:right w:val="none" w:sz="0" w:space="0" w:color="auto"/>
                      </w:divBdr>
                    </w:div>
                    <w:div w:id="1327902726">
                      <w:marLeft w:val="0"/>
                      <w:marRight w:val="0"/>
                      <w:marTop w:val="0"/>
                      <w:marBottom w:val="0"/>
                      <w:divBdr>
                        <w:top w:val="none" w:sz="0" w:space="0" w:color="auto"/>
                        <w:left w:val="none" w:sz="0" w:space="0" w:color="auto"/>
                        <w:bottom w:val="none" w:sz="0" w:space="0" w:color="auto"/>
                        <w:right w:val="none" w:sz="0" w:space="0" w:color="auto"/>
                      </w:divBdr>
                    </w:div>
                    <w:div w:id="1665815494">
                      <w:marLeft w:val="0"/>
                      <w:marRight w:val="0"/>
                      <w:marTop w:val="0"/>
                      <w:marBottom w:val="0"/>
                      <w:divBdr>
                        <w:top w:val="none" w:sz="0" w:space="0" w:color="auto"/>
                        <w:left w:val="none" w:sz="0" w:space="0" w:color="auto"/>
                        <w:bottom w:val="none" w:sz="0" w:space="0" w:color="auto"/>
                        <w:right w:val="none" w:sz="0" w:space="0" w:color="auto"/>
                      </w:divBdr>
                    </w:div>
                    <w:div w:id="1853300448">
                      <w:marLeft w:val="0"/>
                      <w:marRight w:val="0"/>
                      <w:marTop w:val="0"/>
                      <w:marBottom w:val="0"/>
                      <w:divBdr>
                        <w:top w:val="none" w:sz="0" w:space="0" w:color="auto"/>
                        <w:left w:val="none" w:sz="0" w:space="0" w:color="auto"/>
                        <w:bottom w:val="none" w:sz="0" w:space="0" w:color="auto"/>
                        <w:right w:val="none" w:sz="0" w:space="0" w:color="auto"/>
                      </w:divBdr>
                    </w:div>
                    <w:div w:id="336931042">
                      <w:marLeft w:val="0"/>
                      <w:marRight w:val="0"/>
                      <w:marTop w:val="0"/>
                      <w:marBottom w:val="0"/>
                      <w:divBdr>
                        <w:top w:val="none" w:sz="0" w:space="0" w:color="auto"/>
                        <w:left w:val="none" w:sz="0" w:space="0" w:color="auto"/>
                        <w:bottom w:val="none" w:sz="0" w:space="0" w:color="auto"/>
                        <w:right w:val="none" w:sz="0" w:space="0" w:color="auto"/>
                      </w:divBdr>
                    </w:div>
                    <w:div w:id="1949241099">
                      <w:marLeft w:val="0"/>
                      <w:marRight w:val="0"/>
                      <w:marTop w:val="0"/>
                      <w:marBottom w:val="0"/>
                      <w:divBdr>
                        <w:top w:val="none" w:sz="0" w:space="0" w:color="auto"/>
                        <w:left w:val="none" w:sz="0" w:space="0" w:color="auto"/>
                        <w:bottom w:val="none" w:sz="0" w:space="0" w:color="auto"/>
                        <w:right w:val="none" w:sz="0" w:space="0" w:color="auto"/>
                      </w:divBdr>
                    </w:div>
                    <w:div w:id="916088179">
                      <w:marLeft w:val="0"/>
                      <w:marRight w:val="0"/>
                      <w:marTop w:val="0"/>
                      <w:marBottom w:val="0"/>
                      <w:divBdr>
                        <w:top w:val="none" w:sz="0" w:space="0" w:color="auto"/>
                        <w:left w:val="none" w:sz="0" w:space="0" w:color="auto"/>
                        <w:bottom w:val="none" w:sz="0" w:space="0" w:color="auto"/>
                        <w:right w:val="none" w:sz="0" w:space="0" w:color="auto"/>
                      </w:divBdr>
                    </w:div>
                    <w:div w:id="589385405">
                      <w:marLeft w:val="0"/>
                      <w:marRight w:val="0"/>
                      <w:marTop w:val="0"/>
                      <w:marBottom w:val="0"/>
                      <w:divBdr>
                        <w:top w:val="none" w:sz="0" w:space="0" w:color="auto"/>
                        <w:left w:val="none" w:sz="0" w:space="0" w:color="auto"/>
                        <w:bottom w:val="none" w:sz="0" w:space="0" w:color="auto"/>
                        <w:right w:val="none" w:sz="0" w:space="0" w:color="auto"/>
                      </w:divBdr>
                    </w:div>
                    <w:div w:id="1071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3718">
      <w:bodyDiv w:val="1"/>
      <w:marLeft w:val="0"/>
      <w:marRight w:val="0"/>
      <w:marTop w:val="0"/>
      <w:marBottom w:val="0"/>
      <w:divBdr>
        <w:top w:val="none" w:sz="0" w:space="0" w:color="auto"/>
        <w:left w:val="none" w:sz="0" w:space="0" w:color="auto"/>
        <w:bottom w:val="none" w:sz="0" w:space="0" w:color="auto"/>
        <w:right w:val="none" w:sz="0" w:space="0" w:color="auto"/>
      </w:divBdr>
      <w:divsChild>
        <w:div w:id="170149261">
          <w:marLeft w:val="0"/>
          <w:marRight w:val="0"/>
          <w:marTop w:val="0"/>
          <w:marBottom w:val="0"/>
          <w:divBdr>
            <w:top w:val="none" w:sz="0" w:space="0" w:color="auto"/>
            <w:left w:val="none" w:sz="0" w:space="0" w:color="auto"/>
            <w:bottom w:val="none" w:sz="0" w:space="0" w:color="auto"/>
            <w:right w:val="none" w:sz="0" w:space="0" w:color="auto"/>
          </w:divBdr>
          <w:divsChild>
            <w:div w:id="132874169">
              <w:marLeft w:val="0"/>
              <w:marRight w:val="0"/>
              <w:marTop w:val="0"/>
              <w:marBottom w:val="0"/>
              <w:divBdr>
                <w:top w:val="none" w:sz="0" w:space="0" w:color="auto"/>
                <w:left w:val="none" w:sz="0" w:space="0" w:color="auto"/>
                <w:bottom w:val="none" w:sz="0" w:space="0" w:color="auto"/>
                <w:right w:val="none" w:sz="0" w:space="0" w:color="auto"/>
              </w:divBdr>
            </w:div>
          </w:divsChild>
        </w:div>
        <w:div w:id="1332952007">
          <w:marLeft w:val="0"/>
          <w:marRight w:val="0"/>
          <w:marTop w:val="0"/>
          <w:marBottom w:val="0"/>
          <w:divBdr>
            <w:top w:val="none" w:sz="0" w:space="0" w:color="auto"/>
            <w:left w:val="none" w:sz="0" w:space="0" w:color="auto"/>
            <w:bottom w:val="none" w:sz="0" w:space="0" w:color="auto"/>
            <w:right w:val="none" w:sz="0" w:space="0" w:color="auto"/>
          </w:divBdr>
          <w:divsChild>
            <w:div w:id="1000739907">
              <w:marLeft w:val="0"/>
              <w:marRight w:val="0"/>
              <w:marTop w:val="0"/>
              <w:marBottom w:val="0"/>
              <w:divBdr>
                <w:top w:val="none" w:sz="0" w:space="0" w:color="auto"/>
                <w:left w:val="none" w:sz="0" w:space="0" w:color="auto"/>
                <w:bottom w:val="none" w:sz="0" w:space="0" w:color="auto"/>
                <w:right w:val="none" w:sz="0" w:space="0" w:color="auto"/>
              </w:divBdr>
              <w:divsChild>
                <w:div w:id="1578398920">
                  <w:marLeft w:val="0"/>
                  <w:marRight w:val="0"/>
                  <w:marTop w:val="0"/>
                  <w:marBottom w:val="0"/>
                  <w:divBdr>
                    <w:top w:val="none" w:sz="0" w:space="0" w:color="auto"/>
                    <w:left w:val="none" w:sz="0" w:space="0" w:color="auto"/>
                    <w:bottom w:val="none" w:sz="0" w:space="0" w:color="auto"/>
                    <w:right w:val="none" w:sz="0" w:space="0" w:color="auto"/>
                  </w:divBdr>
                  <w:divsChild>
                    <w:div w:id="496313267">
                      <w:marLeft w:val="0"/>
                      <w:marRight w:val="0"/>
                      <w:marTop w:val="0"/>
                      <w:marBottom w:val="0"/>
                      <w:divBdr>
                        <w:top w:val="none" w:sz="0" w:space="0" w:color="auto"/>
                        <w:left w:val="none" w:sz="0" w:space="0" w:color="auto"/>
                        <w:bottom w:val="none" w:sz="0" w:space="0" w:color="auto"/>
                        <w:right w:val="none" w:sz="0" w:space="0" w:color="auto"/>
                      </w:divBdr>
                    </w:div>
                    <w:div w:id="350962323">
                      <w:marLeft w:val="0"/>
                      <w:marRight w:val="0"/>
                      <w:marTop w:val="0"/>
                      <w:marBottom w:val="0"/>
                      <w:divBdr>
                        <w:top w:val="none" w:sz="0" w:space="0" w:color="auto"/>
                        <w:left w:val="none" w:sz="0" w:space="0" w:color="auto"/>
                        <w:bottom w:val="none" w:sz="0" w:space="0" w:color="auto"/>
                        <w:right w:val="none" w:sz="0" w:space="0" w:color="auto"/>
                      </w:divBdr>
                    </w:div>
                    <w:div w:id="682633682">
                      <w:marLeft w:val="0"/>
                      <w:marRight w:val="0"/>
                      <w:marTop w:val="0"/>
                      <w:marBottom w:val="0"/>
                      <w:divBdr>
                        <w:top w:val="none" w:sz="0" w:space="0" w:color="auto"/>
                        <w:left w:val="none" w:sz="0" w:space="0" w:color="auto"/>
                        <w:bottom w:val="none" w:sz="0" w:space="0" w:color="auto"/>
                        <w:right w:val="none" w:sz="0" w:space="0" w:color="auto"/>
                      </w:divBdr>
                    </w:div>
                    <w:div w:id="2050101994">
                      <w:marLeft w:val="0"/>
                      <w:marRight w:val="0"/>
                      <w:marTop w:val="0"/>
                      <w:marBottom w:val="0"/>
                      <w:divBdr>
                        <w:top w:val="none" w:sz="0" w:space="0" w:color="auto"/>
                        <w:left w:val="none" w:sz="0" w:space="0" w:color="auto"/>
                        <w:bottom w:val="none" w:sz="0" w:space="0" w:color="auto"/>
                        <w:right w:val="none" w:sz="0" w:space="0" w:color="auto"/>
                      </w:divBdr>
                    </w:div>
                    <w:div w:id="732510757">
                      <w:marLeft w:val="0"/>
                      <w:marRight w:val="0"/>
                      <w:marTop w:val="0"/>
                      <w:marBottom w:val="0"/>
                      <w:divBdr>
                        <w:top w:val="none" w:sz="0" w:space="0" w:color="auto"/>
                        <w:left w:val="none" w:sz="0" w:space="0" w:color="auto"/>
                        <w:bottom w:val="none" w:sz="0" w:space="0" w:color="auto"/>
                        <w:right w:val="none" w:sz="0" w:space="0" w:color="auto"/>
                      </w:divBdr>
                    </w:div>
                    <w:div w:id="755591103">
                      <w:marLeft w:val="0"/>
                      <w:marRight w:val="0"/>
                      <w:marTop w:val="0"/>
                      <w:marBottom w:val="0"/>
                      <w:divBdr>
                        <w:top w:val="none" w:sz="0" w:space="0" w:color="auto"/>
                        <w:left w:val="none" w:sz="0" w:space="0" w:color="auto"/>
                        <w:bottom w:val="none" w:sz="0" w:space="0" w:color="auto"/>
                        <w:right w:val="none" w:sz="0" w:space="0" w:color="auto"/>
                      </w:divBdr>
                    </w:div>
                    <w:div w:id="639773576">
                      <w:marLeft w:val="0"/>
                      <w:marRight w:val="0"/>
                      <w:marTop w:val="0"/>
                      <w:marBottom w:val="0"/>
                      <w:divBdr>
                        <w:top w:val="none" w:sz="0" w:space="0" w:color="auto"/>
                        <w:left w:val="none" w:sz="0" w:space="0" w:color="auto"/>
                        <w:bottom w:val="none" w:sz="0" w:space="0" w:color="auto"/>
                        <w:right w:val="none" w:sz="0" w:space="0" w:color="auto"/>
                      </w:divBdr>
                    </w:div>
                    <w:div w:id="132674618">
                      <w:marLeft w:val="0"/>
                      <w:marRight w:val="0"/>
                      <w:marTop w:val="0"/>
                      <w:marBottom w:val="0"/>
                      <w:divBdr>
                        <w:top w:val="none" w:sz="0" w:space="0" w:color="auto"/>
                        <w:left w:val="none" w:sz="0" w:space="0" w:color="auto"/>
                        <w:bottom w:val="none" w:sz="0" w:space="0" w:color="auto"/>
                        <w:right w:val="none" w:sz="0" w:space="0" w:color="auto"/>
                      </w:divBdr>
                    </w:div>
                    <w:div w:id="710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org/publications-and-library/trends" TargetMode="External"/><Relationship Id="rId13" Type="http://schemas.openxmlformats.org/officeDocument/2006/relationships/hyperlink" Target="https://www.ncsc.org/publications-and-library/trends" TargetMode="External"/><Relationship Id="rId3" Type="http://schemas.openxmlformats.org/officeDocument/2006/relationships/settings" Target="settings.xml"/><Relationship Id="rId7" Type="http://schemas.openxmlformats.org/officeDocument/2006/relationships/hyperlink" Target="https://www.ncsc.org/newsroom/at-the-center/2024/trends-2024-moving-courts-and-communities-forward" TargetMode="External"/><Relationship Id="rId12" Type="http://schemas.openxmlformats.org/officeDocument/2006/relationships/hyperlink" Target="https://www.ncsc.org/newsroom/at-the-center/2024/trends-2024-moving-courts-and-communities-for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ounties.org/wp-content/uploads/2024-LC-Issue-Paper-TCF.pdf" TargetMode="External"/><Relationship Id="rId11" Type="http://schemas.openxmlformats.org/officeDocument/2006/relationships/hyperlink" Target="https://micounties.org/wp-content/uploads/2024-LC-Issue-Paper-TCF.pdf" TargetMode="External"/><Relationship Id="rId5" Type="http://schemas.openxmlformats.org/officeDocument/2006/relationships/hyperlink" Target="https://www.ncsc.org/newsroom/at-the-center/2024/trends-2024-moving-courts-and-communities-forward" TargetMode="External"/><Relationship Id="rId15" Type="http://schemas.openxmlformats.org/officeDocument/2006/relationships/theme" Target="theme/theme1.xml"/><Relationship Id="rId10" Type="http://schemas.openxmlformats.org/officeDocument/2006/relationships/hyperlink" Target="https://micounties.org/wp-content/uploads/2024-LC-Issue-Paper-TCF.pdf" TargetMode="External"/><Relationship Id="rId4" Type="http://schemas.openxmlformats.org/officeDocument/2006/relationships/webSettings" Target="webSettings.xml"/><Relationship Id="rId9" Type="http://schemas.openxmlformats.org/officeDocument/2006/relationships/hyperlink" Target="https://www.ncsc.org/publications-and-library/tren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2551</Characters>
  <Application>Microsoft Office Word</Application>
  <DocSecurity>0</DocSecurity>
  <Lines>82</Lines>
  <Paragraphs>44</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1</cp:revision>
  <dcterms:created xsi:type="dcterms:W3CDTF">2024-12-05T20:09:00Z</dcterms:created>
  <dcterms:modified xsi:type="dcterms:W3CDTF">2024-12-05T20:11:00Z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29cd2388-c6bc-4cb5-88a9-2bbdf7b22fce</vt:lpwstr>
  </property>
</Properties>
</file>