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A8B1" w14:textId="455D4975" w:rsidR="00373029" w:rsidRPr="00373029" w:rsidRDefault="00373029" w:rsidP="00373029"/>
    <w:p w14:paraId="2EF02D8C" w14:textId="77777777" w:rsidR="00373029" w:rsidRPr="00373029" w:rsidRDefault="00373029" w:rsidP="00373029">
      <w:r w:rsidRPr="00373029">
        <w:t>Here are five key workplace trends anticipated for 2025:</w:t>
      </w:r>
    </w:p>
    <w:p w14:paraId="4F1023E2" w14:textId="77777777" w:rsidR="00373029" w:rsidRPr="00373029" w:rsidRDefault="00373029" w:rsidP="00373029">
      <w:pPr>
        <w:numPr>
          <w:ilvl w:val="0"/>
          <w:numId w:val="1"/>
        </w:numPr>
      </w:pPr>
      <w:r w:rsidRPr="00373029">
        <w:rPr>
          <w:b/>
          <w:bCs/>
        </w:rPr>
        <w:t>Human-Centric Leadership</w:t>
      </w:r>
      <w:r w:rsidRPr="00373029">
        <w:t>: Organizations are increasingly focusing on understanding and valuing employees as individuals, prioritizing well-being, empathy, and purpose. This shift fosters deeper engagement and retention while redefining leadership roles to emphasize connection and understanding</w:t>
      </w:r>
      <w:r w:rsidRPr="00373029">
        <w:rPr>
          <w:rFonts w:ascii="Times New Roman" w:hAnsi="Times New Roman" w:cs="Times New Roman"/>
        </w:rPr>
        <w:t>​</w:t>
      </w:r>
    </w:p>
    <w:p w14:paraId="393D85A5" w14:textId="77777777" w:rsidR="00373029" w:rsidRPr="00373029" w:rsidRDefault="00373029" w:rsidP="00373029">
      <w:hyperlink r:id="rId5" w:tgtFrame="_blank" w:history="1">
        <w:r w:rsidRPr="00373029">
          <w:rPr>
            <w:rStyle w:val="Hyperlink"/>
          </w:rPr>
          <w:t>Arbinger</w:t>
        </w:r>
      </w:hyperlink>
    </w:p>
    <w:p w14:paraId="083CDE0A" w14:textId="77777777" w:rsidR="00373029" w:rsidRPr="00373029" w:rsidRDefault="00373029" w:rsidP="00373029">
      <w:r w:rsidRPr="00373029">
        <w:rPr>
          <w:rFonts w:ascii="Times New Roman" w:hAnsi="Times New Roman" w:cs="Times New Roman"/>
        </w:rPr>
        <w:t>​</w:t>
      </w:r>
    </w:p>
    <w:p w14:paraId="221EE9F8" w14:textId="77777777" w:rsidR="00373029" w:rsidRPr="00373029" w:rsidRDefault="00373029" w:rsidP="00373029">
      <w:hyperlink r:id="rId6" w:tgtFrame="_blank" w:history="1">
        <w:r w:rsidRPr="00373029">
          <w:rPr>
            <w:rStyle w:val="Hyperlink"/>
          </w:rPr>
          <w:t>Gartner</w:t>
        </w:r>
      </w:hyperlink>
    </w:p>
    <w:p w14:paraId="17029BC0" w14:textId="77777777" w:rsidR="00373029" w:rsidRPr="00373029" w:rsidRDefault="00373029" w:rsidP="00373029">
      <w:r w:rsidRPr="00373029">
        <w:t>.</w:t>
      </w:r>
    </w:p>
    <w:p w14:paraId="5A1DC142" w14:textId="77777777" w:rsidR="00373029" w:rsidRPr="00373029" w:rsidRDefault="00373029" w:rsidP="00373029">
      <w:pPr>
        <w:numPr>
          <w:ilvl w:val="0"/>
          <w:numId w:val="1"/>
        </w:numPr>
      </w:pPr>
      <w:r w:rsidRPr="00373029">
        <w:rPr>
          <w:b/>
          <w:bCs/>
        </w:rPr>
        <w:t>AI Integration for Enhanced Collaboration</w:t>
      </w:r>
      <w:r w:rsidRPr="00373029">
        <w:t>: AI is expected to reduce administrative tasks, creating more opportunities for meaningful human interactions and creative work. Companies will aim to balance technology's efficiency with its potential to enhance teamwork and innovation</w:t>
      </w:r>
      <w:r w:rsidRPr="00373029">
        <w:rPr>
          <w:rFonts w:ascii="Times New Roman" w:hAnsi="Times New Roman" w:cs="Times New Roman"/>
        </w:rPr>
        <w:t>​</w:t>
      </w:r>
    </w:p>
    <w:p w14:paraId="428BD6C5" w14:textId="77777777" w:rsidR="00373029" w:rsidRPr="00373029" w:rsidRDefault="00373029" w:rsidP="00373029">
      <w:hyperlink r:id="rId7" w:tgtFrame="_blank" w:history="1">
        <w:r w:rsidRPr="00373029">
          <w:rPr>
            <w:rStyle w:val="Hyperlink"/>
          </w:rPr>
          <w:t>Arbinger</w:t>
        </w:r>
      </w:hyperlink>
    </w:p>
    <w:p w14:paraId="09BB1C96" w14:textId="77777777" w:rsidR="00373029" w:rsidRPr="00373029" w:rsidRDefault="00373029" w:rsidP="00373029">
      <w:r w:rsidRPr="00373029">
        <w:rPr>
          <w:rFonts w:ascii="Times New Roman" w:hAnsi="Times New Roman" w:cs="Times New Roman"/>
        </w:rPr>
        <w:t>​</w:t>
      </w:r>
    </w:p>
    <w:p w14:paraId="6A4451E0" w14:textId="77777777" w:rsidR="00373029" w:rsidRPr="00373029" w:rsidRDefault="00373029" w:rsidP="00373029">
      <w:hyperlink r:id="rId8" w:tgtFrame="_blank" w:history="1">
        <w:r w:rsidRPr="00373029">
          <w:rPr>
            <w:rStyle w:val="Hyperlink"/>
          </w:rPr>
          <w:t>Gensler</w:t>
        </w:r>
      </w:hyperlink>
    </w:p>
    <w:p w14:paraId="5A05DEBB" w14:textId="77777777" w:rsidR="00373029" w:rsidRPr="00373029" w:rsidRDefault="00373029" w:rsidP="00373029">
      <w:r w:rsidRPr="00373029">
        <w:t>.</w:t>
      </w:r>
    </w:p>
    <w:p w14:paraId="2E3E9C67" w14:textId="77777777" w:rsidR="00373029" w:rsidRPr="00373029" w:rsidRDefault="00373029" w:rsidP="00373029">
      <w:pPr>
        <w:numPr>
          <w:ilvl w:val="0"/>
          <w:numId w:val="1"/>
        </w:numPr>
      </w:pPr>
      <w:r w:rsidRPr="00373029">
        <w:rPr>
          <w:b/>
          <w:bCs/>
        </w:rPr>
        <w:t>The Great Re-Engagement</w:t>
      </w:r>
      <w:r w:rsidRPr="00373029">
        <w:t>: Rebuilding employee engagement is a priority as organizations combat disengagement and quiet quitting. This trend involves creating personalized experiences and fostering active participation over mere presence</w:t>
      </w:r>
      <w:r w:rsidRPr="00373029">
        <w:rPr>
          <w:rFonts w:ascii="Times New Roman" w:hAnsi="Times New Roman" w:cs="Times New Roman"/>
        </w:rPr>
        <w:t>​</w:t>
      </w:r>
    </w:p>
    <w:p w14:paraId="3302E78C" w14:textId="77777777" w:rsidR="00373029" w:rsidRPr="00373029" w:rsidRDefault="00373029" w:rsidP="00373029">
      <w:hyperlink r:id="rId9" w:tgtFrame="_blank" w:history="1">
        <w:r w:rsidRPr="00373029">
          <w:rPr>
            <w:rStyle w:val="Hyperlink"/>
          </w:rPr>
          <w:t>Arbinger</w:t>
        </w:r>
      </w:hyperlink>
    </w:p>
    <w:p w14:paraId="1179AE51" w14:textId="77777777" w:rsidR="00373029" w:rsidRPr="00373029" w:rsidRDefault="00373029" w:rsidP="00373029">
      <w:r w:rsidRPr="00373029">
        <w:rPr>
          <w:rFonts w:ascii="Times New Roman" w:hAnsi="Times New Roman" w:cs="Times New Roman"/>
        </w:rPr>
        <w:t>​</w:t>
      </w:r>
    </w:p>
    <w:p w14:paraId="042125B5" w14:textId="77777777" w:rsidR="00373029" w:rsidRPr="00373029" w:rsidRDefault="00373029" w:rsidP="00373029">
      <w:hyperlink r:id="rId10" w:tgtFrame="_blank" w:history="1">
        <w:r w:rsidRPr="00373029">
          <w:rPr>
            <w:rStyle w:val="Hyperlink"/>
          </w:rPr>
          <w:t>Gensler</w:t>
        </w:r>
      </w:hyperlink>
    </w:p>
    <w:p w14:paraId="06B040C9" w14:textId="77777777" w:rsidR="00373029" w:rsidRPr="00373029" w:rsidRDefault="00373029" w:rsidP="00373029">
      <w:r w:rsidRPr="00373029">
        <w:t>.</w:t>
      </w:r>
    </w:p>
    <w:p w14:paraId="32B2230E" w14:textId="77777777" w:rsidR="00373029" w:rsidRPr="00373029" w:rsidRDefault="00373029" w:rsidP="00373029">
      <w:pPr>
        <w:numPr>
          <w:ilvl w:val="0"/>
          <w:numId w:val="1"/>
        </w:numPr>
      </w:pPr>
      <w:r w:rsidRPr="00373029">
        <w:rPr>
          <w:b/>
          <w:bCs/>
        </w:rPr>
        <w:t xml:space="preserve">Flexible </w:t>
      </w:r>
      <w:proofErr w:type="spellStart"/>
      <w:r w:rsidRPr="00373029">
        <w:rPr>
          <w:b/>
          <w:bCs/>
        </w:rPr>
        <w:t>Workpoints</w:t>
      </w:r>
      <w:proofErr w:type="spellEnd"/>
      <w:r w:rsidRPr="00373029">
        <w:rPr>
          <w:b/>
          <w:bCs/>
        </w:rPr>
        <w:t xml:space="preserve"> and Shared Spaces</w:t>
      </w:r>
      <w:r w:rsidRPr="00373029">
        <w:t>: Traditional assigned desks are being replaced with versatile "</w:t>
      </w:r>
      <w:proofErr w:type="spellStart"/>
      <w:r w:rsidRPr="00373029">
        <w:t>workpoints</w:t>
      </w:r>
      <w:proofErr w:type="spellEnd"/>
      <w:r w:rsidRPr="00373029">
        <w:t>" that adapt to various tasks and moods. Shared amenities and collaborative spaces are gaining prominence, emphasizing community and flexibility over rigid setups</w:t>
      </w:r>
      <w:r w:rsidRPr="00373029">
        <w:rPr>
          <w:rFonts w:ascii="Times New Roman" w:hAnsi="Times New Roman" w:cs="Times New Roman"/>
        </w:rPr>
        <w:t>​</w:t>
      </w:r>
    </w:p>
    <w:p w14:paraId="76F7A739" w14:textId="77777777" w:rsidR="00373029" w:rsidRPr="00373029" w:rsidRDefault="00373029" w:rsidP="00373029">
      <w:hyperlink r:id="rId11" w:tgtFrame="_blank" w:history="1">
        <w:r w:rsidRPr="00373029">
          <w:rPr>
            <w:rStyle w:val="Hyperlink"/>
          </w:rPr>
          <w:t>Gensler</w:t>
        </w:r>
      </w:hyperlink>
    </w:p>
    <w:p w14:paraId="15D73F6E" w14:textId="77777777" w:rsidR="00373029" w:rsidRPr="00373029" w:rsidRDefault="00373029" w:rsidP="00373029">
      <w:r w:rsidRPr="00373029">
        <w:t>.</w:t>
      </w:r>
    </w:p>
    <w:p w14:paraId="7DA90D0A" w14:textId="77777777" w:rsidR="00373029" w:rsidRPr="00373029" w:rsidRDefault="00373029" w:rsidP="00373029">
      <w:pPr>
        <w:numPr>
          <w:ilvl w:val="0"/>
          <w:numId w:val="1"/>
        </w:numPr>
      </w:pPr>
      <w:r w:rsidRPr="00373029">
        <w:rPr>
          <w:b/>
          <w:bCs/>
        </w:rPr>
        <w:t>Transformation of HR Functions</w:t>
      </w:r>
      <w:r w:rsidRPr="00373029">
        <w:t>: HR's role is evolving to include strategic workforce planning, change management, and leveraging advanced technologies. These efforts aim to build resilient, people-first organizations and support diverse, inclusive workplace cultures</w:t>
      </w:r>
      <w:r w:rsidRPr="00373029">
        <w:rPr>
          <w:rFonts w:ascii="Times New Roman" w:hAnsi="Times New Roman" w:cs="Times New Roman"/>
        </w:rPr>
        <w:t>​</w:t>
      </w:r>
    </w:p>
    <w:p w14:paraId="59662DAB" w14:textId="77777777" w:rsidR="00373029" w:rsidRPr="00373029" w:rsidRDefault="00373029" w:rsidP="00373029">
      <w:hyperlink r:id="rId12" w:tgtFrame="_blank" w:history="1">
        <w:r w:rsidRPr="00373029">
          <w:rPr>
            <w:rStyle w:val="Hyperlink"/>
          </w:rPr>
          <w:t>Gartner</w:t>
        </w:r>
      </w:hyperlink>
    </w:p>
    <w:p w14:paraId="3FF2EED5" w14:textId="77777777" w:rsidR="00373029" w:rsidRPr="00373029" w:rsidRDefault="00373029" w:rsidP="00373029">
      <w:r w:rsidRPr="00373029">
        <w:t>.</w:t>
      </w:r>
    </w:p>
    <w:p w14:paraId="65C148EE" w14:textId="77777777" w:rsidR="00373029" w:rsidRPr="00373029" w:rsidRDefault="00373029" w:rsidP="00373029">
      <w:r w:rsidRPr="00373029">
        <w:t>These trends highlight a shift towards workplaces that value adaptability, meaningful engagement, and alignment with employees' personal and professional growth goals.</w:t>
      </w:r>
    </w:p>
    <w:p w14:paraId="3DC4F215" w14:textId="77777777" w:rsidR="00F61FBC" w:rsidRDefault="00F61FBC"/>
    <w:sectPr w:rsidR="00F61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A62D9"/>
    <w:multiLevelType w:val="multilevel"/>
    <w:tmpl w:val="D496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8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29"/>
    <w:rsid w:val="000D66C5"/>
    <w:rsid w:val="00147708"/>
    <w:rsid w:val="001D69B7"/>
    <w:rsid w:val="00373029"/>
    <w:rsid w:val="00440B27"/>
    <w:rsid w:val="005F5BD2"/>
    <w:rsid w:val="006801C0"/>
    <w:rsid w:val="00DC3FDF"/>
    <w:rsid w:val="00EB733B"/>
    <w:rsid w:val="00F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44ED9"/>
  <w15:chartTrackingRefBased/>
  <w15:docId w15:val="{95D71BC6-D40B-442C-A917-38FF317E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02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02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02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02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02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02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02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02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02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029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029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029"/>
    <w:rPr>
      <w:rFonts w:asciiTheme="minorHAnsi" w:eastAsiaTheme="majorEastAsia" w:hAnsiTheme="minorHAns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029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029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02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029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02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029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02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029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02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029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0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0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0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0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30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sler.com/blog/10-workplace-trends-for-2025-whats-in-and-whats-ou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binger.com/blog/workplace-trends-2025/" TargetMode="External"/><Relationship Id="rId12" Type="http://schemas.openxmlformats.org/officeDocument/2006/relationships/hyperlink" Target="https://www.gartner.com/en/human-resources/trends/top-priorities-for-hr-lea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tner.com/en/human-resources/trends/top-priorities-for-hr-leaders" TargetMode="External"/><Relationship Id="rId11" Type="http://schemas.openxmlformats.org/officeDocument/2006/relationships/hyperlink" Target="https://www.gensler.com/blog/10-workplace-trends-for-2025-whats-in-and-whats-out" TargetMode="External"/><Relationship Id="rId5" Type="http://schemas.openxmlformats.org/officeDocument/2006/relationships/hyperlink" Target="https://arbinger.com/blog/workplace-trends-2025/" TargetMode="External"/><Relationship Id="rId10" Type="http://schemas.openxmlformats.org/officeDocument/2006/relationships/hyperlink" Target="https://www.gensler.com/blog/10-workplace-trends-for-2025-whats-in-and-whats-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binger.com/blog/workplace-trends-20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2215</Characters>
  <Application>Microsoft Office Word</Application>
  <DocSecurity>0</DocSecurity>
  <Lines>52</Lines>
  <Paragraphs>38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Kiefer</dc:creator>
  <cp:keywords/>
  <dc:description/>
  <cp:lastModifiedBy>Peter Kiefer</cp:lastModifiedBy>
  <cp:revision>2</cp:revision>
  <dcterms:created xsi:type="dcterms:W3CDTF">2024-12-05T11:56:00Z</dcterms:created>
  <dcterms:modified xsi:type="dcterms:W3CDTF">2025-01-18T20:50:00Z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57d7a0eb-6467-4264-9814-d52dae652758</vt:lpwstr>
  </property>
</Properties>
</file>