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41" w:rsidRDefault="009D134A">
      <w:r>
        <w:rPr>
          <w:rFonts w:ascii="Arial" w:eastAsia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5943600" cy="460286"/>
            <wp:effectExtent l="0" t="0" r="0" b="0"/>
            <wp:docPr id="1" name="image2.png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m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4F41" w:rsidRDefault="009D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EARLY CAREER PROFESSIONALS SUB-COMMITTEE</w:t>
      </w:r>
    </w:p>
    <w:p w:rsidR="00EB4F41" w:rsidRDefault="009D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Monday, April 23, 2018</w:t>
      </w:r>
    </w:p>
    <w:p w:rsidR="00EB4F41" w:rsidRDefault="009D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2:00 P.M. ET</w:t>
      </w:r>
    </w:p>
    <w:p w:rsidR="00EB4F41" w:rsidRDefault="009D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1-800-503-2899 Access Code: 2591537</w:t>
      </w:r>
    </w:p>
    <w:p w:rsidR="00EB4F41" w:rsidRDefault="009D1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AGENDA</w:t>
      </w:r>
    </w:p>
    <w:tbl>
      <w:tblPr>
        <w:tblStyle w:val="a"/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EB4F41">
        <w:tc>
          <w:tcPr>
            <w:tcW w:w="10800" w:type="dxa"/>
          </w:tcPr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2017-2018 Committee Charges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a Community Service Project for the Mid-Year, Orange County, CA;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and plan an ECP Scholarship Fundraiser for the Mid-Year Conference;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a Committee Chair for the ECP Award;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Completed)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a Community Service Project for the Annual Conference;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Selection by March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and Implement a networking opportunity for the Annual Conference, Atlanta, GA;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Define and implement ways to increase participation in ECP outside of the conferences;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4F41" w:rsidRDefault="00EB4F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F41" w:rsidRDefault="009D1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 </w:t>
      </w:r>
    </w:p>
    <w:p w:rsidR="003C7485" w:rsidRDefault="003C7485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Attendees:</w:t>
      </w:r>
    </w:p>
    <w:p w:rsidR="003C7485" w:rsidRDefault="003C7485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Sarah Couture</w:t>
      </w:r>
    </w:p>
    <w:p w:rsidR="003C7485" w:rsidRDefault="003C7485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Michelle Dunivan</w:t>
      </w:r>
    </w:p>
    <w:p w:rsidR="003C7485" w:rsidRDefault="003C7485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Chappel</w:t>
      </w:r>
      <w:proofErr w:type="spellEnd"/>
    </w:p>
    <w:p w:rsidR="003C7485" w:rsidRDefault="003C7485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Gardner</w:t>
      </w:r>
    </w:p>
    <w:p w:rsidR="003C7485" w:rsidRDefault="003C7485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Jeffrey </w:t>
      </w:r>
      <w:proofErr w:type="spellStart"/>
      <w:r w:rsidR="00607689">
        <w:rPr>
          <w:rFonts w:ascii="Times New Roman" w:eastAsia="Times New Roman" w:hAnsi="Times New Roman" w:cs="Times New Roman"/>
          <w:color w:val="000000"/>
          <w:sz w:val="24"/>
          <w:szCs w:val="24"/>
        </w:rPr>
        <w:t>Tsunekawa</w:t>
      </w:r>
      <w:proofErr w:type="spellEnd"/>
    </w:p>
    <w:p w:rsidR="00607689" w:rsidRDefault="00607689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Janet Reid</w:t>
      </w:r>
    </w:p>
    <w:p w:rsidR="003C7485" w:rsidRDefault="003C7485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F41" w:rsidRDefault="009D1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Conference</w:t>
      </w:r>
    </w:p>
    <w:p w:rsidR="00EB4F41" w:rsidRPr="003C7485" w:rsidRDefault="009D13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Fundraiser Update</w:t>
      </w:r>
    </w:p>
    <w:p w:rsidR="003C7485" w:rsidRDefault="003C7485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-Presented the dilemma to the board, and </w:t>
      </w:r>
      <w:r w:rsidR="00B45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has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voted to have </w:t>
      </w:r>
      <w:r w:rsidR="00B45903">
        <w:rPr>
          <w:rFonts w:ascii="Times New Roman" w:eastAsia="Times New Roman" w:hAnsi="Times New Roman" w:cs="Times New Roman"/>
          <w:color w:val="000000"/>
          <w:sz w:val="24"/>
          <w:szCs w:val="24"/>
        </w:rPr>
        <w:t>the Fun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net proceeds go to </w:t>
      </w:r>
      <w:r w:rsidR="00B45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</w:t>
      </w:r>
      <w:r w:rsidR="00B45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fund.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are not responsible for scholars</w:t>
      </w:r>
      <w:r w:rsidR="00B45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hip fundraiser for this or future conferences. </w:t>
      </w:r>
    </w:p>
    <w:p w:rsidR="003C7485" w:rsidRDefault="003C7485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-This will keep us from over-tapping our attendees</w:t>
      </w:r>
      <w:r w:rsidR="00B45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donations. There are sponsors for the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45903">
        <w:rPr>
          <w:rFonts w:ascii="Times New Roman" w:eastAsia="Times New Roman" w:hAnsi="Times New Roman" w:cs="Times New Roman"/>
          <w:color w:val="000000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and we would be able to receive additional funds for the scholarship.</w:t>
      </w:r>
    </w:p>
    <w:p w:rsidR="00EB4F41" w:rsidRPr="003C7485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6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ECP Welcome Reception – </w:t>
      </w:r>
      <w:r>
        <w:rPr>
          <w:rFonts w:ascii="Times New Roman" w:eastAsia="Times New Roman" w:hAnsi="Times New Roman" w:cs="Times New Roman"/>
          <w:sz w:val="24"/>
          <w:szCs w:val="24"/>
        </w:rPr>
        <w:t>Going to play Question Ball</w:t>
      </w:r>
    </w:p>
    <w:p w:rsidR="003C7485" w:rsidRPr="003C7485" w:rsidRDefault="003C7485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45903">
        <w:rPr>
          <w:color w:val="000000"/>
          <w:sz w:val="24"/>
          <w:szCs w:val="24"/>
        </w:rPr>
        <w:t>Sarah will get beach balls and write questions on them.</w:t>
      </w:r>
      <w:r>
        <w:rPr>
          <w:color w:val="000000"/>
          <w:sz w:val="24"/>
          <w:szCs w:val="24"/>
        </w:rPr>
        <w:t xml:space="preserve"> </w:t>
      </w:r>
      <w:r w:rsidR="00B45903">
        <w:rPr>
          <w:color w:val="000000"/>
          <w:sz w:val="24"/>
          <w:szCs w:val="24"/>
        </w:rPr>
        <w:t>She will prepare m</w:t>
      </w:r>
      <w:r>
        <w:rPr>
          <w:color w:val="000000"/>
          <w:sz w:val="24"/>
          <w:szCs w:val="24"/>
        </w:rPr>
        <w:t xml:space="preserve">ultiple balls so we can have several groups, and can interact with different people. </w:t>
      </w:r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6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NACM Cares</w:t>
      </w:r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Davis Direction Foundation (monetary)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http://www.davisdirection.com/</w:t>
        </w:r>
      </w:hyperlink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Pajama Program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http://pajamaprogram.org/pajama-program-reading-centeratlanta/</w:t>
        </w:r>
      </w:hyperlink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City of Refuge/House of Cherith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http://cityofrefugeatl.org/what-are-the-most-common-items-the-city-of-refuge-needs/</w:t>
        </w:r>
      </w:hyperlink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Stand Up for Kids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http://www.standupforkids.org/atlanta</w:t>
        </w:r>
      </w:hyperlink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Atlanta Children’s Shelter (monetary)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https://www.acsatl.org/</w:t>
        </w:r>
      </w:hyperlink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St. Jude (monetary)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https://www.stjude.org/</w:t>
        </w:r>
      </w:hyperlink>
    </w:p>
    <w:p w:rsidR="00EB4F41" w:rsidRPr="003C7485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Atlanta Community Food Bank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http://acfb.org/</w:t>
        </w:r>
      </w:hyperlink>
    </w:p>
    <w:p w:rsidR="003C7485" w:rsidRPr="00B45903" w:rsidRDefault="003C7485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59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>onetary donations do not do very well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 xml:space="preserve"> with past NACM Cares events.</w:t>
      </w:r>
    </w:p>
    <w:p w:rsidR="003C7485" w:rsidRPr="00B45903" w:rsidRDefault="003C7485" w:rsidP="00B45903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59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All call-in attendees</w:t>
      </w:r>
      <w:r w:rsidR="00496B3B" w:rsidRPr="00B45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like the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ajama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 xml:space="preserve">Program. This program needs donations of books and pajamas, both of which are 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easy to </w:t>
      </w:r>
      <w:r w:rsidR="00496B3B" w:rsidRPr="00B45903">
        <w:rPr>
          <w:rFonts w:ascii="Times New Roman" w:eastAsia="Times New Roman" w:hAnsi="Times New Roman" w:cs="Times New Roman"/>
          <w:sz w:val="24"/>
          <w:szCs w:val="24"/>
        </w:rPr>
        <w:t>bring to donate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, or purchase in Atlanta</w:t>
      </w:r>
      <w:r w:rsidR="00496B3B" w:rsidRPr="00B459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Since “pajama” is in the name, we will n</w:t>
      </w:r>
      <w:r w:rsidR="00496B3B" w:rsidRPr="00B45903"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to promote book donations as well.</w:t>
      </w:r>
    </w:p>
    <w:p w:rsidR="00496B3B" w:rsidRPr="00B45903" w:rsidRDefault="00496B3B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59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 xml:space="preserve">We can 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promote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 xml:space="preserve">donation opportunities 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through Court Express,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 xml:space="preserve">the NACM 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app, and on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conference website. We can make announcements each day.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There is a nearby s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hopping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center; Sarah will find stores where books and pajamas can be purchased for donation and develop a Fact S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heet with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convenient shopping locations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 xml:space="preserve">Will ask the Pajama Program to provide signage and flyers for donation location at registration, and we can 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print this ourselves if necessary. 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We learned at mid-year that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 not speaking until the end is too late- we need exposure early on. </w:t>
      </w:r>
    </w:p>
    <w:p w:rsidR="003C7485" w:rsidRPr="00B45903" w:rsidRDefault="00496B3B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59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7689">
        <w:rPr>
          <w:rFonts w:ascii="Times New Roman" w:eastAsia="Times New Roman" w:hAnsi="Times New Roman" w:cs="Times New Roman"/>
          <w:sz w:val="24"/>
          <w:szCs w:val="24"/>
        </w:rPr>
        <w:t>Janet</w:t>
      </w:r>
      <w:bookmarkStart w:id="1" w:name="_GoBack"/>
      <w:bookmarkEnd w:id="1"/>
      <w:r w:rsidRPr="00B45903">
        <w:rPr>
          <w:rFonts w:ascii="Times New Roman" w:eastAsia="Times New Roman" w:hAnsi="Times New Roman" w:cs="Times New Roman"/>
          <w:sz w:val="24"/>
          <w:szCs w:val="24"/>
        </w:rPr>
        <w:t xml:space="preserve"> is working on announcements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 xml:space="preserve"> and asked how much time would be needed for a representative from the Pajama Program to explain the charity to the NACM audience, and it was decided that </w:t>
      </w:r>
      <w:r w:rsidRPr="00B45903">
        <w:rPr>
          <w:rFonts w:ascii="Times New Roman" w:eastAsia="Times New Roman" w:hAnsi="Times New Roman" w:cs="Times New Roman"/>
          <w:sz w:val="24"/>
          <w:szCs w:val="24"/>
        </w:rPr>
        <w:t>5 minutes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 xml:space="preserve"> on Monday would be sufficient.</w:t>
      </w:r>
    </w:p>
    <w:p w:rsidR="00496B3B" w:rsidRDefault="00496B3B" w:rsidP="003C748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4F41" w:rsidRDefault="009D1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Court Manager Article</w:t>
      </w:r>
    </w:p>
    <w:p w:rsidR="00EB4F41" w:rsidRDefault="009D1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6/29/18 Deadline – Author, </w:t>
      </w:r>
      <w:r>
        <w:rPr>
          <w:rFonts w:ascii="Times New Roman" w:eastAsia="Times New Roman" w:hAnsi="Times New Roman" w:cs="Times New Roman"/>
          <w:sz w:val="24"/>
          <w:szCs w:val="24"/>
        </w:rPr>
        <w:t>Erin Tellez</w:t>
      </w:r>
    </w:p>
    <w:p w:rsidR="00EB4F41" w:rsidRDefault="009D1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Possible topic of mentorship ( possibly Alfred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Degrafinreid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Michele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6B3B" w:rsidRDefault="00496B3B" w:rsidP="00496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-Navigating challenges as an ECP managing people who are not ECP’s</w:t>
      </w:r>
      <w:r w:rsidR="00B45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F41" w:rsidRDefault="009D1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:rsidR="00EB4F41" w:rsidRDefault="009D1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Meeting:</w:t>
      </w:r>
    </w:p>
    <w:p w:rsidR="00EB4F41" w:rsidRDefault="009D13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 (due to Mem</w:t>
      </w:r>
      <w:r>
        <w:rPr>
          <w:rFonts w:ascii="Times New Roman" w:eastAsia="Times New Roman" w:hAnsi="Times New Roman" w:cs="Times New Roman"/>
          <w:sz w:val="24"/>
          <w:szCs w:val="24"/>
        </w:rPr>
        <w:t>orial Day Holiday)</w:t>
      </w:r>
    </w:p>
    <w:p w:rsidR="00EB4F41" w:rsidRDefault="009D134A">
      <w:pPr>
        <w:spacing w:after="0" w:line="240" w:lineRule="auto"/>
        <w:rPr>
          <w:rFonts w:ascii="Times New Roman" w:eastAsia="Times New Roman" w:hAnsi="Times New Roman" w:cs="Times New Roman"/>
          <w:color w:val="427FE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Chair: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Sarah Couture – </w:t>
      </w:r>
      <w:hyperlink r:id="rId15">
        <w:r>
          <w:rPr>
            <w:rFonts w:ascii="Times New Roman" w:eastAsia="Times New Roman" w:hAnsi="Times New Roman" w:cs="Times New Roman"/>
            <w:color w:val="427FED"/>
            <w:sz w:val="24"/>
            <w:szCs w:val="24"/>
          </w:rPr>
          <w:t>sarah@nacmnet.org</w:t>
        </w:r>
      </w:hyperlink>
    </w:p>
    <w:p w:rsidR="00EB4F41" w:rsidRDefault="009D13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Vice-Chair: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Michelle Dunivan – </w:t>
      </w:r>
      <w:hyperlink r:id="rId16">
        <w:r>
          <w:rPr>
            <w:rFonts w:ascii="Times New Roman" w:eastAsia="Times New Roman" w:hAnsi="Times New Roman" w:cs="Times New Roman"/>
            <w:color w:val="427FED"/>
            <w:sz w:val="24"/>
            <w:szCs w:val="24"/>
          </w:rPr>
          <w:t>dunivanm@superiorcourt.maricopa.gov</w:t>
        </w:r>
      </w:hyperlink>
    </w:p>
    <w:sectPr w:rsidR="00EB4F41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52" w:rsidRDefault="00946952">
      <w:pPr>
        <w:spacing w:after="0" w:line="240" w:lineRule="auto"/>
      </w:pPr>
      <w:r>
        <w:separator/>
      </w:r>
    </w:p>
  </w:endnote>
  <w:endnote w:type="continuationSeparator" w:id="0">
    <w:p w:rsidR="00946952" w:rsidRDefault="0094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F41" w:rsidRDefault="00EB4F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52" w:rsidRDefault="00946952">
      <w:pPr>
        <w:spacing w:after="0" w:line="240" w:lineRule="auto"/>
      </w:pPr>
      <w:r>
        <w:separator/>
      </w:r>
    </w:p>
  </w:footnote>
  <w:footnote w:type="continuationSeparator" w:id="0">
    <w:p w:rsidR="00946952" w:rsidRDefault="0094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83BA5"/>
    <w:multiLevelType w:val="multilevel"/>
    <w:tmpl w:val="E350F8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17178C"/>
    <w:multiLevelType w:val="hybridMultilevel"/>
    <w:tmpl w:val="3C68F35E"/>
    <w:lvl w:ilvl="0" w:tplc="AC1084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4166AB"/>
    <w:multiLevelType w:val="multilevel"/>
    <w:tmpl w:val="DC764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41"/>
    <w:rsid w:val="003C7485"/>
    <w:rsid w:val="00496B3B"/>
    <w:rsid w:val="00607689"/>
    <w:rsid w:val="00946952"/>
    <w:rsid w:val="009D134A"/>
    <w:rsid w:val="00B45903"/>
    <w:rsid w:val="00BD75EA"/>
    <w:rsid w:val="00E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2D86"/>
  <w15:docId w15:val="{ECA8DCEA-259A-47A6-8FC0-AFD59FFB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direction.com/" TargetMode="External"/><Relationship Id="rId13" Type="http://schemas.openxmlformats.org/officeDocument/2006/relationships/hyperlink" Target="https://www.stjude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csatl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univanm@superiorcourt.maricop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ndupforkids.org/atlant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rah@nacmnet.org" TargetMode="External"/><Relationship Id="rId10" Type="http://schemas.openxmlformats.org/officeDocument/2006/relationships/hyperlink" Target="http://cityofrefugeatl.org/what-are-the-most-common-items-the-city-of-refuge-nee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jamaprogram.org/pajama-program-reading-centeratlanta/" TargetMode="External"/><Relationship Id="rId14" Type="http://schemas.openxmlformats.org/officeDocument/2006/relationships/hyperlink" Target="http://acf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Couture, Sarah</dc:creator>
  <cp:lastModifiedBy>Couture, Sarah</cp:lastModifiedBy>
  <cp:revision>2</cp:revision>
  <dcterms:created xsi:type="dcterms:W3CDTF">2018-04-23T19:46:00Z</dcterms:created>
  <dcterms:modified xsi:type="dcterms:W3CDTF">2018-04-23T19:46:00Z</dcterms:modified>
</cp:coreProperties>
</file>