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7" w:lineRule="auto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Governance Committee Agenda</w:t>
      </w:r>
    </w:p>
    <w:p w:rsidR="00000000" w:rsidDel="00000000" w:rsidP="00000000" w:rsidRDefault="00000000" w:rsidRPr="00000000" w14:paraId="00000002">
      <w:pPr>
        <w:spacing w:before="1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October 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2022 @ 3:00 pm ET via Zoom</w:t>
      </w:r>
    </w:p>
    <w:p w:rsidR="00000000" w:rsidDel="00000000" w:rsidP="00000000" w:rsidRDefault="00000000" w:rsidRPr="00000000" w14:paraId="00000003">
      <w:pPr>
        <w:spacing w:before="1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Chairs: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Angie VanSchoick &amp; Kent Pankey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Vice Chair: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Brandon Kimura</w:t>
      </w:r>
    </w:p>
    <w:p w:rsidR="00000000" w:rsidDel="00000000" w:rsidP="00000000" w:rsidRDefault="00000000" w:rsidRPr="00000000" w14:paraId="00000004">
      <w:pPr>
        <w:spacing w:before="1" w:lineRule="auto"/>
        <w:jc w:val="center"/>
        <w:rPr>
          <w:rFonts w:ascii="Calibri" w:cs="Calibri" w:eastAsia="Calibri" w:hAnsi="Calibri"/>
          <w:b w:val="1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Committee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jc w:val="center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https://zoom.us/j/93807989162?pwd=ZjV5S0pDOW1WalN6eFYwakkzTm03Zz09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Call to order/Introductions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1" w:lineRule="auto"/>
        <w:ind w:left="720" w:right="27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September 7th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03"/>
          <w:tab w:val="left" w:pos="1304"/>
        </w:tabs>
        <w:spacing w:before="1" w:lineRule="auto"/>
        <w:ind w:left="1303" w:right="27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03"/>
          <w:tab w:val="left" w:pos="1304"/>
        </w:tabs>
        <w:spacing w:before="1" w:lineRule="auto"/>
        <w:ind w:left="720" w:right="270" w:hanging="723"/>
        <w:rPr>
          <w:rFonts w:ascii="Calibri" w:cs="Calibri" w:eastAsia="Calibri" w:hAnsi="Calibri"/>
          <w:b w:val="1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5840" w:w="12240" w:orient="portrait"/>
          <w:pgMar w:bottom="280" w:top="1500" w:left="1440" w:right="150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Committees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Ethics subcommittee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Courtney Whiteside,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Resolutions subcommittee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Kent Pankey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CCJ/COSCA resolutions 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Bylaws subcommittee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review for modification of the resolution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qualification/eligibility regarding election to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Ready to post for review by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Operations Manual subcommittee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 Committee disbanded and replaced by the Conference Development Committee and the CORE® Committee – need to update Ops Manual to reflect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State of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in early 2023 to write the address given by the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Voice of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2534" w:right="270" w:hanging="362.99999999999983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early 2023 for disbursement during Annual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080" w:righ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Future Projects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1080" w:right="270" w:hanging="363.000000000000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Priorities from Strategic Planning 2022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NACM SFA #3: Advocacy for the Profession:  GOAL 1: NACM will be an influential and respected voice on behalf of courts and all court professionals. 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Create a variety of talking points for members to use for community outreach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4"/>
        </w:num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Develop a response of the profession to issues of public trust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144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NACM SFA #4: Association Governance: GOAL 1: NACM’s governance is all inclusive, responsive, and collaborative.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216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governance of Board overall: Health, Exit Interviews, Recruitment, Nomination process (Include Courageous Conversations at Board Meeting) Update nomination process to reflect DEI. Review Committee Structure to ensure consistency/diversity/succession/need for Technology Committee Update and standardize the NACM’s Operations Manual and associated forms and appendices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216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Efforts to improve NACM leadership practices and representativeness.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2534" w:right="270" w:hanging="362.999999999999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Advocacy for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720" w:right="27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Dates of significance</w:t>
      </w:r>
    </w:p>
    <w:p w:rsidR="00000000" w:rsidDel="00000000" w:rsidP="00000000" w:rsidRDefault="00000000" w:rsidRPr="00000000" w14:paraId="00000027">
      <w:pPr>
        <w:widowControl w:val="1"/>
        <w:numPr>
          <w:ilvl w:val="1"/>
          <w:numId w:val="6"/>
        </w:numPr>
        <w:spacing w:after="120" w:lineRule="auto"/>
        <w:ind w:left="1080" w:right="2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Midyear Conference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February 5-7, 2023, Minneapolis, MN</w:t>
      </w:r>
    </w:p>
    <w:p w:rsidR="00000000" w:rsidDel="00000000" w:rsidP="00000000" w:rsidRDefault="00000000" w:rsidRPr="00000000" w14:paraId="00000028">
      <w:pPr>
        <w:widowControl w:val="1"/>
        <w:numPr>
          <w:ilvl w:val="1"/>
          <w:numId w:val="6"/>
        </w:numPr>
        <w:spacing w:after="120" w:lineRule="auto"/>
        <w:ind w:left="1080" w:right="2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Annual Conference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July 9-13, 2023, Tampa, FL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1303" w:right="27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Adjourned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20" w:right="270" w:firstLine="0"/>
        <w:rPr>
          <w:rFonts w:ascii="Calibri" w:cs="Calibri" w:eastAsia="Calibri" w:hAnsi="Calibri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right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720" w:right="27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280" w:top="1500" w:left="1220" w:right="1500" w:header="360" w:footer="36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Future meeting dates for 2022/2023 NACM year –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Wednesday at 3:00p ET:</w:t>
      </w:r>
    </w:p>
    <w:p w:rsidR="00000000" w:rsidDel="00000000" w:rsidP="00000000" w:rsidRDefault="00000000" w:rsidRPr="00000000" w14:paraId="0000002E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2, 2022</w:t>
      </w:r>
    </w:p>
    <w:p w:rsidR="00000000" w:rsidDel="00000000" w:rsidP="00000000" w:rsidRDefault="00000000" w:rsidRPr="00000000" w14:paraId="0000002F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7, 2022</w:t>
      </w:r>
    </w:p>
    <w:p w:rsidR="00000000" w:rsidDel="00000000" w:rsidP="00000000" w:rsidRDefault="00000000" w:rsidRPr="00000000" w14:paraId="00000030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4, 2023</w:t>
      </w:r>
    </w:p>
    <w:p w:rsidR="00000000" w:rsidDel="00000000" w:rsidP="00000000" w:rsidRDefault="00000000" w:rsidRPr="00000000" w14:paraId="00000031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1, 2023</w:t>
      </w:r>
    </w:p>
    <w:p w:rsidR="00000000" w:rsidDel="00000000" w:rsidP="00000000" w:rsidRDefault="00000000" w:rsidRPr="00000000" w14:paraId="00000032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1, 2023</w:t>
      </w:r>
    </w:p>
    <w:p w:rsidR="00000000" w:rsidDel="00000000" w:rsidP="00000000" w:rsidRDefault="00000000" w:rsidRPr="00000000" w14:paraId="00000033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5, 2023</w:t>
      </w:r>
    </w:p>
    <w:p w:rsidR="00000000" w:rsidDel="00000000" w:rsidP="00000000" w:rsidRDefault="00000000" w:rsidRPr="00000000" w14:paraId="00000034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3, 2023</w:t>
      </w:r>
    </w:p>
    <w:p w:rsidR="00000000" w:rsidDel="00000000" w:rsidP="00000000" w:rsidRDefault="00000000" w:rsidRPr="00000000" w14:paraId="00000035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7, 2023</w:t>
      </w:r>
    </w:p>
    <w:p w:rsidR="00000000" w:rsidDel="00000000" w:rsidP="00000000" w:rsidRDefault="00000000" w:rsidRPr="00000000" w14:paraId="00000036">
      <w:pPr>
        <w:ind w:left="720" w:right="27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 5, 2023</w:t>
      </w:r>
    </w:p>
    <w:p w:rsidR="00000000" w:rsidDel="00000000" w:rsidP="00000000" w:rsidRDefault="00000000" w:rsidRPr="00000000" w14:paraId="00000037">
      <w:pPr>
        <w:ind w:right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1" w:before="7" w:lineRule="auto"/>
      <w:rPr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7" w:lineRule="auto"/>
      <w:ind w:left="240" w:firstLine="0"/>
      <w:rPr>
        <w:sz w:val="2"/>
        <w:szCs w:val="2"/>
      </w:rPr>
    </w:pPr>
    <w:r w:rsidDel="00000000" w:rsidR="00000000" w:rsidRPr="00000000">
      <w:rPr>
        <w:sz w:val="2"/>
        <w:szCs w:val="2"/>
      </w:rPr>
      <mc:AlternateContent>
        <mc:Choice Requires="wpg">
          <w:drawing>
            <wp:inline distB="0" distT="0" distL="114300" distR="114300">
              <wp:extent cx="5808980" cy="17145"/>
              <wp:effectExtent b="0" l="0" r="0" t="0"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1500" y="3771425"/>
                        <a:ext cx="5808980" cy="17145"/>
                        <a:chOff x="2441500" y="3771425"/>
                        <a:chExt cx="5809000" cy="17375"/>
                      </a:xfrm>
                    </wpg:grpSpPr>
                    <wpg:grpSp>
                      <wpg:cNvGrpSpPr/>
                      <wpg:grpSpPr>
                        <a:xfrm>
                          <a:off x="2441510" y="3771428"/>
                          <a:ext cx="5808980" cy="17145"/>
                          <a:chOff x="2441510" y="3771428"/>
                          <a:chExt cx="5808980" cy="171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41510" y="3771428"/>
                            <a:ext cx="5808975" cy="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75" cy="171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41510" y="3771428"/>
                                <a:ext cx="5808975" cy="17125"/>
                                <a:chOff x="0" y="0"/>
                                <a:chExt cx="5808975" cy="171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890" y="8890"/>
                                  <a:ext cx="5791835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69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808980" cy="17145"/>
              <wp:effectExtent b="0" l="0" r="0" t="0"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980" cy="171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before="8" w:lineRule="auto"/>
      <w:ind w:left="630" w:right="705" w:firstLine="0"/>
      <w:jc w:val="center"/>
      <w:rPr>
        <w:color w:val="a2a0a0"/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Association Services: National Center for State Courts, 300 Newport Avenue, Williamsburg, VA 23185</w:t>
    </w:r>
  </w:p>
  <w:p w:rsidR="00000000" w:rsidDel="00000000" w:rsidP="00000000" w:rsidRDefault="00000000" w:rsidRPr="00000000" w14:paraId="00000040">
    <w:pPr>
      <w:spacing w:before="8" w:lineRule="auto"/>
      <w:ind w:left="630" w:right="705" w:firstLine="0"/>
      <w:jc w:val="center"/>
      <w:rPr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(757) 259-1841, Fax (757) 259-1520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before="8" w:lineRule="auto"/>
      <w:ind w:left="630" w:right="705" w:firstLine="0"/>
      <w:jc w:val="center"/>
      <w:rPr/>
    </w:pPr>
    <w:r w:rsidDel="00000000" w:rsidR="00000000" w:rsidRPr="00000000">
      <w:rPr>
        <w:color w:val="a2a0a0"/>
        <w:sz w:val="20"/>
        <w:szCs w:val="20"/>
        <w:rtl w:val="0"/>
      </w:rPr>
      <w:t xml:space="preserve">Home Page: </w:t>
    </w:r>
    <w:hyperlink r:id="rId2">
      <w:r w:rsidDel="00000000" w:rsidR="00000000" w:rsidRPr="00000000">
        <w:rPr>
          <w:color w:val="a2a0a0"/>
          <w:sz w:val="20"/>
          <w:szCs w:val="20"/>
          <w:rtl w:val="0"/>
        </w:rPr>
        <w:t xml:space="preserve">http://www.nacmnet.org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5901829" cy="640079"/>
          <wp:effectExtent b="0" l="0" r="0" t="0"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303" w:hanging="720.9999999999998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303" w:hanging="720.9999999999998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303" w:hanging="720.9999999999998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6"/>
        <w:szCs w:val="26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310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1"/>
      <w:ind w:left="3101"/>
      <w:outlineLvl w:val="0"/>
    </w:pPr>
    <w:rPr>
      <w:b w:val="1"/>
      <w:bCs w:val="1"/>
      <w:sz w:val="26"/>
      <w:szCs w:val="2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663" w:hanging="363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 w:val="1"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B05E0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000C7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000C7D"/>
  </w:style>
  <w:style w:type="character" w:styleId="eop" w:customStyle="1">
    <w:name w:val="eop"/>
    <w:basedOn w:val="DefaultParagraphFont"/>
    <w:rsid w:val="00000C7D"/>
  </w:style>
  <w:style w:type="character" w:styleId="tabchar" w:customStyle="1">
    <w:name w:val="tabchar"/>
    <w:basedOn w:val="DefaultParagraphFont"/>
    <w:rsid w:val="00000C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cmnet.org/committees/permanent-committees/governance-committee/" TargetMode="External"/><Relationship Id="rId8" Type="http://schemas.openxmlformats.org/officeDocument/2006/relationships/hyperlink" Target="https://zoom.us/j/93807989162?pwd=ZjV5S0pDOW1WalN6eFYwakkzTm03Zz09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acmne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os+a2wpRp1+ZHxIvR/ZHKChFg==">AMUW2mWdTFc4WFBGvwA8BJca4PWIk7p+EYGFZuH9SJDtPNJIyw/M9ZKVMXvQeXnkcUtQf2rK0/ZfVtoxpx9Ikkdi1kCiuUk9ZmEBivtCMxgJlevESKLRWvY=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2022-07-28T21:00:00Z</dcterms:created>
  <dc:creator>Pierce, Rick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