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720" w:firstLine="720"/>
        <w:jc w:val="left"/>
        <w:rPr>
          <w:b w:val="1"/>
          <w:sz w:val="32"/>
          <w:szCs w:val="32"/>
        </w:rPr>
      </w:pPr>
      <w:r w:rsidDel="00000000" w:rsidR="00000000" w:rsidRPr="00000000">
        <w:rPr>
          <w:b w:val="1"/>
          <w:sz w:val="32"/>
          <w:szCs w:val="32"/>
          <w:rtl w:val="0"/>
        </w:rPr>
        <w:t xml:space="preserve">INTERNATIONAL SUBCOMMITTEE MEETING MINUTES</w:t>
      </w:r>
    </w:p>
    <w:p w:rsidR="00000000" w:rsidDel="00000000" w:rsidP="00000000" w:rsidRDefault="00000000" w:rsidRPr="00000000" w14:paraId="00000002">
      <w:pPr>
        <w:widowControl w:val="1"/>
        <w:ind w:left="2160" w:firstLine="720"/>
        <w:rPr>
          <w:sz w:val="32"/>
          <w:szCs w:val="32"/>
        </w:rPr>
      </w:pPr>
      <w:r w:rsidDel="00000000" w:rsidR="00000000" w:rsidRPr="00000000">
        <w:rPr>
          <w:sz w:val="32"/>
          <w:szCs w:val="32"/>
          <w:rtl w:val="0"/>
        </w:rPr>
        <w:t xml:space="preserve">Wednesday, July 14, 2021</w:t>
      </w:r>
    </w:p>
    <w:p w:rsidR="00000000" w:rsidDel="00000000" w:rsidP="00000000" w:rsidRDefault="00000000" w:rsidRPr="00000000" w14:paraId="00000003">
      <w:pPr>
        <w:widowControl w:val="1"/>
        <w:ind w:left="2880" w:firstLine="720"/>
        <w:rPr>
          <w:sz w:val="28"/>
          <w:szCs w:val="28"/>
        </w:rPr>
      </w:pPr>
      <w:r w:rsidDel="00000000" w:rsidR="00000000" w:rsidRPr="00000000">
        <w:rPr>
          <w:sz w:val="32"/>
          <w:szCs w:val="32"/>
          <w:rtl w:val="0"/>
        </w:rPr>
        <w:t xml:space="preserve">      1:00 P.M. PT</w:t>
      </w:r>
      <w:r w:rsidDel="00000000" w:rsidR="00000000" w:rsidRPr="00000000">
        <w:rPr>
          <w:rtl w:val="0"/>
        </w:rPr>
      </w:r>
    </w:p>
    <w:p w:rsidR="00000000" w:rsidDel="00000000" w:rsidP="00000000" w:rsidRDefault="00000000" w:rsidRPr="00000000" w14:paraId="00000004">
      <w:pPr>
        <w:widowControl w:val="1"/>
        <w:rPr>
          <w:sz w:val="28"/>
          <w:szCs w:val="28"/>
        </w:rPr>
      </w:pPr>
      <w:r w:rsidDel="00000000" w:rsidR="00000000" w:rsidRPr="00000000">
        <w:rPr>
          <w:rtl w:val="0"/>
        </w:rPr>
      </w:r>
    </w:p>
    <w:p w:rsidR="00000000" w:rsidDel="00000000" w:rsidP="00000000" w:rsidRDefault="00000000" w:rsidRPr="00000000" w14:paraId="00000005">
      <w:pPr>
        <w:pageBreakBefore w:val="0"/>
        <w:widowControl w:val="1"/>
        <w:ind w:left="0" w:firstLine="0"/>
        <w:rPr>
          <w:sz w:val="24"/>
          <w:szCs w:val="24"/>
        </w:rPr>
      </w:pPr>
      <w:r w:rsidDel="00000000" w:rsidR="00000000" w:rsidRPr="00000000">
        <w:rPr>
          <w:sz w:val="24"/>
          <w:szCs w:val="24"/>
          <w:rtl w:val="0"/>
        </w:rPr>
        <w:t xml:space="preserve">Attendees:</w:t>
      </w:r>
    </w:p>
    <w:p w:rsidR="00000000" w:rsidDel="00000000" w:rsidP="00000000" w:rsidRDefault="00000000" w:rsidRPr="00000000" w14:paraId="00000006">
      <w:pPr>
        <w:pageBreakBefore w:val="0"/>
        <w:widowControl w:val="1"/>
        <w:ind w:left="0" w:firstLine="0"/>
        <w:rPr>
          <w:sz w:val="24"/>
          <w:szCs w:val="24"/>
        </w:rPr>
      </w:pPr>
      <w:r w:rsidDel="00000000" w:rsidR="00000000" w:rsidRPr="00000000">
        <w:rPr>
          <w:sz w:val="24"/>
          <w:szCs w:val="24"/>
          <w:rtl w:val="0"/>
        </w:rPr>
        <w:t xml:space="preserve">Michele Oken Stuart, Chair</w:t>
      </w:r>
    </w:p>
    <w:p w:rsidR="00000000" w:rsidDel="00000000" w:rsidP="00000000" w:rsidRDefault="00000000" w:rsidRPr="00000000" w14:paraId="00000007">
      <w:pPr>
        <w:pageBreakBefore w:val="0"/>
        <w:widowControl w:val="1"/>
        <w:ind w:left="0" w:firstLine="0"/>
        <w:rPr>
          <w:sz w:val="24"/>
          <w:szCs w:val="24"/>
        </w:rPr>
      </w:pPr>
      <w:r w:rsidDel="00000000" w:rsidR="00000000" w:rsidRPr="00000000">
        <w:rPr>
          <w:sz w:val="24"/>
          <w:szCs w:val="24"/>
          <w:rtl w:val="0"/>
        </w:rPr>
        <w:t xml:space="preserve">Kevin Bowling</w:t>
      </w:r>
    </w:p>
    <w:p w:rsidR="00000000" w:rsidDel="00000000" w:rsidP="00000000" w:rsidRDefault="00000000" w:rsidRPr="00000000" w14:paraId="00000008">
      <w:pPr>
        <w:pageBreakBefore w:val="0"/>
        <w:widowControl w:val="1"/>
        <w:ind w:left="0" w:firstLine="0"/>
        <w:rPr>
          <w:sz w:val="24"/>
          <w:szCs w:val="24"/>
        </w:rPr>
      </w:pPr>
      <w:r w:rsidDel="00000000" w:rsidR="00000000" w:rsidRPr="00000000">
        <w:rPr>
          <w:sz w:val="24"/>
          <w:szCs w:val="24"/>
          <w:rtl w:val="0"/>
        </w:rPr>
        <w:t xml:space="preserve">Janet Cornell </w:t>
      </w:r>
    </w:p>
    <w:p w:rsidR="00000000" w:rsidDel="00000000" w:rsidP="00000000" w:rsidRDefault="00000000" w:rsidRPr="00000000" w14:paraId="00000009">
      <w:pPr>
        <w:pageBreakBefore w:val="0"/>
        <w:widowControl w:val="1"/>
        <w:ind w:left="0" w:firstLine="0"/>
        <w:rPr>
          <w:sz w:val="24"/>
          <w:szCs w:val="24"/>
        </w:rPr>
      </w:pPr>
      <w:r w:rsidDel="00000000" w:rsidR="00000000" w:rsidRPr="00000000">
        <w:rPr>
          <w:sz w:val="24"/>
          <w:szCs w:val="24"/>
          <w:rtl w:val="0"/>
        </w:rPr>
        <w:t xml:space="preserve">Tina Mattison</w:t>
      </w:r>
    </w:p>
    <w:p w:rsidR="00000000" w:rsidDel="00000000" w:rsidP="00000000" w:rsidRDefault="00000000" w:rsidRPr="00000000" w14:paraId="0000000A">
      <w:pPr>
        <w:pageBreakBefore w:val="0"/>
        <w:widowControl w:val="1"/>
        <w:ind w:left="0" w:firstLine="0"/>
        <w:rPr>
          <w:sz w:val="24"/>
          <w:szCs w:val="24"/>
        </w:rPr>
      </w:pPr>
      <w:r w:rsidDel="00000000" w:rsidR="00000000" w:rsidRPr="00000000">
        <w:rPr>
          <w:sz w:val="24"/>
          <w:szCs w:val="24"/>
          <w:rtl w:val="0"/>
        </w:rPr>
        <w:t xml:space="preserve">Daniel Meza</w:t>
      </w:r>
    </w:p>
    <w:p w:rsidR="00000000" w:rsidDel="00000000" w:rsidP="00000000" w:rsidRDefault="00000000" w:rsidRPr="00000000" w14:paraId="0000000B">
      <w:pPr>
        <w:pageBreakBefore w:val="0"/>
        <w:widowControl w:val="1"/>
        <w:ind w:left="0" w:firstLine="0"/>
        <w:rPr>
          <w:sz w:val="24"/>
          <w:szCs w:val="24"/>
        </w:rPr>
      </w:pPr>
      <w:r w:rsidDel="00000000" w:rsidR="00000000" w:rsidRPr="00000000">
        <w:rPr>
          <w:sz w:val="24"/>
          <w:szCs w:val="24"/>
          <w:rtl w:val="0"/>
        </w:rPr>
        <w:t xml:space="preserve">Jude Del Preore </w:t>
      </w:r>
    </w:p>
    <w:p w:rsidR="00000000" w:rsidDel="00000000" w:rsidP="00000000" w:rsidRDefault="00000000" w:rsidRPr="00000000" w14:paraId="0000000C">
      <w:pPr>
        <w:pageBreakBefore w:val="0"/>
        <w:widowControl w:val="1"/>
        <w:ind w:left="0" w:firstLine="0"/>
        <w:rPr>
          <w:sz w:val="24"/>
          <w:szCs w:val="24"/>
        </w:rPr>
      </w:pPr>
      <w:r w:rsidDel="00000000" w:rsidR="00000000" w:rsidRPr="00000000">
        <w:rPr>
          <w:sz w:val="24"/>
          <w:szCs w:val="24"/>
          <w:rtl w:val="0"/>
        </w:rPr>
        <w:t xml:space="preserve">Sheryl Loesch</w:t>
      </w:r>
    </w:p>
    <w:p w:rsidR="00000000" w:rsidDel="00000000" w:rsidP="00000000" w:rsidRDefault="00000000" w:rsidRPr="00000000" w14:paraId="0000000D">
      <w:pPr>
        <w:pageBreakBefore w:val="0"/>
        <w:widowControl w:val="1"/>
        <w:ind w:left="0" w:firstLine="0"/>
        <w:rPr>
          <w:sz w:val="24"/>
          <w:szCs w:val="24"/>
        </w:rPr>
      </w:pPr>
      <w:r w:rsidDel="00000000" w:rsidR="00000000" w:rsidRPr="00000000">
        <w:rPr>
          <w:sz w:val="24"/>
          <w:szCs w:val="24"/>
          <w:rtl w:val="0"/>
        </w:rPr>
        <w:t xml:space="preserve">Colet Odenigbo</w:t>
      </w:r>
    </w:p>
    <w:p w:rsidR="00000000" w:rsidDel="00000000" w:rsidP="00000000" w:rsidRDefault="00000000" w:rsidRPr="00000000" w14:paraId="0000000E">
      <w:pPr>
        <w:pageBreakBefore w:val="0"/>
        <w:widowControl w:val="1"/>
        <w:ind w:left="0" w:firstLine="0"/>
        <w:rPr>
          <w:sz w:val="24"/>
          <w:szCs w:val="24"/>
        </w:rPr>
      </w:pPr>
      <w:r w:rsidDel="00000000" w:rsidR="00000000" w:rsidRPr="00000000">
        <w:rPr>
          <w:sz w:val="24"/>
          <w:szCs w:val="24"/>
          <w:rtl w:val="0"/>
        </w:rPr>
        <w:t xml:space="preserve">Roger Rand</w:t>
      </w:r>
    </w:p>
    <w:p w:rsidR="00000000" w:rsidDel="00000000" w:rsidP="00000000" w:rsidRDefault="00000000" w:rsidRPr="00000000" w14:paraId="0000000F">
      <w:pPr>
        <w:pageBreakBefore w:val="0"/>
        <w:widowControl w:val="1"/>
        <w:ind w:left="0" w:firstLine="0"/>
        <w:rPr>
          <w:sz w:val="24"/>
          <w:szCs w:val="24"/>
        </w:rPr>
      </w:pPr>
      <w:r w:rsidDel="00000000" w:rsidR="00000000" w:rsidRPr="00000000">
        <w:rPr>
          <w:sz w:val="24"/>
          <w:szCs w:val="24"/>
          <w:rtl w:val="0"/>
        </w:rPr>
        <w:t xml:space="preserve">Marcus Reinkensmeyer</w:t>
      </w:r>
    </w:p>
    <w:p w:rsidR="00000000" w:rsidDel="00000000" w:rsidP="00000000" w:rsidRDefault="00000000" w:rsidRPr="00000000" w14:paraId="00000010">
      <w:pPr>
        <w:pageBreakBefore w:val="0"/>
        <w:widowControl w:val="1"/>
        <w:ind w:left="0" w:firstLine="0"/>
        <w:rPr>
          <w:sz w:val="24"/>
          <w:szCs w:val="24"/>
        </w:rPr>
      </w:pPr>
      <w:r w:rsidDel="00000000" w:rsidR="00000000" w:rsidRPr="00000000">
        <w:rPr>
          <w:sz w:val="24"/>
          <w:szCs w:val="24"/>
          <w:rtl w:val="0"/>
        </w:rPr>
        <w:t xml:space="preserve">Eric Silverberg</w:t>
      </w:r>
    </w:p>
    <w:p w:rsidR="00000000" w:rsidDel="00000000" w:rsidP="00000000" w:rsidRDefault="00000000" w:rsidRPr="00000000" w14:paraId="00000011">
      <w:pPr>
        <w:pageBreakBefore w:val="0"/>
        <w:widowControl w:val="1"/>
        <w:ind w:left="0" w:firstLine="0"/>
        <w:rPr>
          <w:sz w:val="24"/>
          <w:szCs w:val="24"/>
        </w:rPr>
      </w:pPr>
      <w:r w:rsidDel="00000000" w:rsidR="00000000" w:rsidRPr="00000000">
        <w:rPr>
          <w:sz w:val="24"/>
          <w:szCs w:val="24"/>
          <w:rtl w:val="0"/>
        </w:rPr>
        <w:t xml:space="preserve">Cheryl Stone</w:t>
      </w:r>
    </w:p>
    <w:p w:rsidR="00000000" w:rsidDel="00000000" w:rsidP="00000000" w:rsidRDefault="00000000" w:rsidRPr="00000000" w14:paraId="00000012">
      <w:pPr>
        <w:pageBreakBefore w:val="0"/>
        <w:widowControl w:val="1"/>
        <w:ind w:left="0" w:firstLine="0"/>
        <w:rPr>
          <w:sz w:val="24"/>
          <w:szCs w:val="24"/>
        </w:rPr>
      </w:pPr>
      <w:r w:rsidDel="00000000" w:rsidR="00000000" w:rsidRPr="00000000">
        <w:rPr>
          <w:sz w:val="24"/>
          <w:szCs w:val="24"/>
          <w:rtl w:val="0"/>
        </w:rPr>
        <w:t xml:space="preserve">Jennifer Torchia</w:t>
      </w:r>
    </w:p>
    <w:p w:rsidR="00000000" w:rsidDel="00000000" w:rsidP="00000000" w:rsidRDefault="00000000" w:rsidRPr="00000000" w14:paraId="00000013">
      <w:pPr>
        <w:pageBreakBefore w:val="0"/>
        <w:widowControl w:val="1"/>
        <w:ind w:left="0" w:firstLine="0"/>
        <w:rPr>
          <w:sz w:val="24"/>
          <w:szCs w:val="24"/>
        </w:rPr>
      </w:pPr>
      <w:r w:rsidDel="00000000" w:rsidR="00000000" w:rsidRPr="00000000">
        <w:rPr>
          <w:sz w:val="24"/>
          <w:szCs w:val="24"/>
          <w:rtl w:val="0"/>
        </w:rPr>
        <w:t xml:space="preserve">Samantha Wallis</w:t>
      </w:r>
    </w:p>
    <w:p w:rsidR="00000000" w:rsidDel="00000000" w:rsidP="00000000" w:rsidRDefault="00000000" w:rsidRPr="00000000" w14:paraId="00000014">
      <w:pPr>
        <w:widowControl w:val="1"/>
        <w:ind w:left="0" w:firstLine="0"/>
        <w:rPr>
          <w:sz w:val="24"/>
          <w:szCs w:val="24"/>
        </w:rPr>
      </w:pPr>
      <w:r w:rsidDel="00000000" w:rsidR="00000000" w:rsidRPr="00000000">
        <w:rPr>
          <w:sz w:val="24"/>
          <w:szCs w:val="24"/>
          <w:rtl w:val="0"/>
        </w:rPr>
        <w:t xml:space="preserve">Winnie Webber</w:t>
      </w:r>
    </w:p>
    <w:p w:rsidR="00000000" w:rsidDel="00000000" w:rsidP="00000000" w:rsidRDefault="00000000" w:rsidRPr="00000000" w14:paraId="00000015">
      <w:pPr>
        <w:widowControl w:val="1"/>
        <w:ind w:left="0" w:firstLine="0"/>
        <w:rPr>
          <w:sz w:val="24"/>
          <w:szCs w:val="24"/>
        </w:rPr>
      </w:pPr>
      <w:r w:rsidDel="00000000" w:rsidR="00000000" w:rsidRPr="00000000">
        <w:rPr>
          <w:rtl w:val="0"/>
        </w:rPr>
      </w:r>
    </w:p>
    <w:p w:rsidR="00000000" w:rsidDel="00000000" w:rsidP="00000000" w:rsidRDefault="00000000" w:rsidRPr="00000000" w14:paraId="00000016">
      <w:pPr>
        <w:pageBreakBefore w:val="0"/>
        <w:widowControl w:val="1"/>
        <w:numPr>
          <w:ilvl w:val="0"/>
          <w:numId w:val="1"/>
        </w:numPr>
        <w:ind w:left="720" w:hanging="360"/>
        <w:rPr>
          <w:rFonts w:ascii="Times New Roman" w:cs="Times New Roman" w:eastAsia="Times New Roman" w:hAnsi="Times New Roman"/>
          <w:sz w:val="24"/>
          <w:szCs w:val="24"/>
          <w:u w:val="none"/>
        </w:rPr>
      </w:pPr>
      <w:bookmarkStart w:colFirst="0" w:colLast="0" w:name="_heading=h.kto7yl5mm56b" w:id="0"/>
      <w:bookmarkEnd w:id="0"/>
      <w:r w:rsidDel="00000000" w:rsidR="00000000" w:rsidRPr="00000000">
        <w:rPr>
          <w:sz w:val="24"/>
          <w:szCs w:val="24"/>
          <w:rtl w:val="0"/>
        </w:rPr>
        <w:t xml:space="preserve">Introductions: Attendees introduced themselves, providing name, court location and state.</w:t>
      </w:r>
    </w:p>
    <w:p w:rsidR="00000000" w:rsidDel="00000000" w:rsidP="00000000" w:rsidRDefault="00000000" w:rsidRPr="00000000" w14:paraId="00000017">
      <w:pPr>
        <w:pageBreakBefore w:val="0"/>
        <w:widowControl w:val="1"/>
        <w:numPr>
          <w:ilvl w:val="0"/>
          <w:numId w:val="1"/>
        </w:numPr>
        <w:ind w:left="720" w:hanging="360"/>
        <w:rPr>
          <w:sz w:val="24"/>
          <w:szCs w:val="24"/>
          <w:u w:val="none"/>
        </w:rPr>
      </w:pPr>
      <w:bookmarkStart w:colFirst="0" w:colLast="0" w:name="_heading=h.anlftooxwa42" w:id="1"/>
      <w:bookmarkEnd w:id="1"/>
      <w:r w:rsidDel="00000000" w:rsidR="00000000" w:rsidRPr="00000000">
        <w:rPr>
          <w:sz w:val="24"/>
          <w:szCs w:val="24"/>
          <w:rtl w:val="0"/>
        </w:rPr>
        <w:t xml:space="preserve">Roles and Responsibilities of Committee: </w:t>
      </w:r>
      <w:r w:rsidDel="00000000" w:rsidR="00000000" w:rsidRPr="00000000">
        <w:rPr>
          <w:sz w:val="24"/>
          <w:szCs w:val="24"/>
          <w:highlight w:val="white"/>
          <w:rtl w:val="0"/>
        </w:rPr>
        <w:t xml:space="preserve">The Subcommittee is responsible for reaching out to international associations and organizations to promote the importance of court administration and encourage partnerships with NACM. In addition, the committee develops partnerships with other organizations to promote effective court management initiatives. Finally, the committee will assist NACM members interested in developing international relationships with courts abroad by providing resources and materials to effectuate the relationship.  Michele stated that the committee meets quarterly or if working on a project additional meetings will be scheduled.</w:t>
      </w:r>
      <w:r w:rsidDel="00000000" w:rsidR="00000000" w:rsidRPr="00000000">
        <w:rPr>
          <w:rtl w:val="0"/>
        </w:rPr>
      </w:r>
    </w:p>
    <w:p w:rsidR="00000000" w:rsidDel="00000000" w:rsidP="00000000" w:rsidRDefault="00000000" w:rsidRPr="00000000" w14:paraId="00000018">
      <w:pPr>
        <w:pageBreakBefore w:val="0"/>
        <w:widowControl w:val="1"/>
        <w:numPr>
          <w:ilvl w:val="0"/>
          <w:numId w:val="1"/>
        </w:numPr>
        <w:ind w:left="720" w:hanging="360"/>
        <w:rPr>
          <w:sz w:val="24"/>
          <w:szCs w:val="24"/>
          <w:u w:val="none"/>
        </w:rPr>
      </w:pPr>
      <w:bookmarkStart w:colFirst="0" w:colLast="0" w:name="_heading=h.lusja3xb4isk" w:id="2"/>
      <w:bookmarkEnd w:id="2"/>
      <w:r w:rsidDel="00000000" w:rsidR="00000000" w:rsidRPr="00000000">
        <w:rPr>
          <w:sz w:val="24"/>
          <w:szCs w:val="24"/>
          <w:rtl w:val="0"/>
        </w:rPr>
        <w:t xml:space="preserve">IACA Update (Sheryl Loesch, IACA President):  Sheryl gave an overview of IACA and reported the following:  </w:t>
      </w:r>
    </w:p>
    <w:p w:rsidR="00000000" w:rsidDel="00000000" w:rsidP="00000000" w:rsidRDefault="00000000" w:rsidRPr="00000000" w14:paraId="00000019">
      <w:pPr>
        <w:pageBreakBefore w:val="0"/>
        <w:widowControl w:val="1"/>
        <w:numPr>
          <w:ilvl w:val="1"/>
          <w:numId w:val="1"/>
        </w:numPr>
        <w:ind w:left="1440" w:hanging="360"/>
        <w:rPr>
          <w:sz w:val="24"/>
          <w:szCs w:val="24"/>
          <w:u w:val="none"/>
        </w:rPr>
      </w:pPr>
      <w:bookmarkStart w:colFirst="0" w:colLast="0" w:name="_heading=h.4qhkc39g0k7k" w:id="3"/>
      <w:bookmarkEnd w:id="3"/>
      <w:r w:rsidDel="00000000" w:rsidR="00000000" w:rsidRPr="00000000">
        <w:rPr>
          <w:sz w:val="24"/>
          <w:szCs w:val="24"/>
          <w:rtl w:val="0"/>
        </w:rPr>
        <w:t xml:space="preserve">IACA Conference will be held March 28-31, 2022 in Helsinki, Finland.  Conference Theme is People Centered Justice in the New Normal.  Registration will be available on the conference website in September.  </w:t>
      </w:r>
    </w:p>
    <w:p w:rsidR="00000000" w:rsidDel="00000000" w:rsidP="00000000" w:rsidRDefault="00000000" w:rsidRPr="00000000" w14:paraId="0000001A">
      <w:pPr>
        <w:pageBreakBefore w:val="0"/>
        <w:widowControl w:val="1"/>
        <w:numPr>
          <w:ilvl w:val="1"/>
          <w:numId w:val="1"/>
        </w:numPr>
        <w:ind w:left="1440" w:hanging="360"/>
        <w:rPr>
          <w:sz w:val="24"/>
          <w:szCs w:val="24"/>
          <w:u w:val="none"/>
        </w:rPr>
      </w:pPr>
      <w:bookmarkStart w:colFirst="0" w:colLast="0" w:name="_heading=h.cim04lha5k8f" w:id="4"/>
      <w:bookmarkEnd w:id="4"/>
      <w:r w:rsidDel="00000000" w:rsidR="00000000" w:rsidRPr="00000000">
        <w:rPr>
          <w:sz w:val="24"/>
          <w:szCs w:val="24"/>
          <w:rtl w:val="0"/>
        </w:rPr>
        <w:t xml:space="preserve">IACA’s inaugural podcast released in December was well received.  The next podcast highlighting Performance Management will be recorded at the end of July and released mid to late August.  </w:t>
      </w:r>
    </w:p>
    <w:p w:rsidR="00000000" w:rsidDel="00000000" w:rsidP="00000000" w:rsidRDefault="00000000" w:rsidRPr="00000000" w14:paraId="0000001B">
      <w:pPr>
        <w:pageBreakBefore w:val="0"/>
        <w:widowControl w:val="1"/>
        <w:numPr>
          <w:ilvl w:val="1"/>
          <w:numId w:val="1"/>
        </w:numPr>
        <w:ind w:left="1440" w:hanging="360"/>
        <w:rPr>
          <w:sz w:val="24"/>
          <w:szCs w:val="24"/>
          <w:u w:val="none"/>
        </w:rPr>
      </w:pPr>
      <w:bookmarkStart w:colFirst="0" w:colLast="0" w:name="_heading=h.7wfk3fhqmrh1" w:id="5"/>
      <w:bookmarkEnd w:id="5"/>
      <w:r w:rsidDel="00000000" w:rsidR="00000000" w:rsidRPr="00000000">
        <w:rPr>
          <w:sz w:val="24"/>
          <w:szCs w:val="24"/>
          <w:rtl w:val="0"/>
        </w:rPr>
        <w:t xml:space="preserve">IACA’s publications, The Court Administrator, and the International Journal on Court Administration (IJCA) can be found on the IACA website, </w:t>
      </w:r>
      <w:r w:rsidDel="00000000" w:rsidR="00000000" w:rsidRPr="00000000">
        <w:rPr>
          <w:b w:val="1"/>
          <w:sz w:val="24"/>
          <w:szCs w:val="24"/>
          <w:u w:val="single"/>
          <w:rtl w:val="0"/>
        </w:rPr>
        <w:t xml:space="preserve">IACA.ws</w:t>
      </w:r>
      <w:r w:rsidDel="00000000" w:rsidR="00000000" w:rsidRPr="00000000">
        <w:rPr>
          <w:sz w:val="24"/>
          <w:szCs w:val="24"/>
          <w:rtl w:val="0"/>
        </w:rPr>
        <w:t xml:space="preserve">. </w:t>
      </w:r>
    </w:p>
    <w:p w:rsidR="00000000" w:rsidDel="00000000" w:rsidP="00000000" w:rsidRDefault="00000000" w:rsidRPr="00000000" w14:paraId="0000001C">
      <w:pPr>
        <w:pageBreakBefore w:val="0"/>
        <w:widowControl w:val="1"/>
        <w:ind w:left="1440" w:firstLine="0"/>
        <w:rPr>
          <w:sz w:val="24"/>
          <w:szCs w:val="24"/>
        </w:rPr>
      </w:pPr>
      <w:bookmarkStart w:colFirst="0" w:colLast="0" w:name="_heading=h.z0vqza5j45tf" w:id="6"/>
      <w:bookmarkEnd w:id="6"/>
      <w:r w:rsidDel="00000000" w:rsidR="00000000" w:rsidRPr="00000000">
        <w:rPr>
          <w:rtl w:val="0"/>
        </w:rPr>
      </w:r>
    </w:p>
    <w:p w:rsidR="00000000" w:rsidDel="00000000" w:rsidP="00000000" w:rsidRDefault="00000000" w:rsidRPr="00000000" w14:paraId="0000001D">
      <w:pPr>
        <w:pageBreakBefore w:val="0"/>
        <w:widowControl w:val="1"/>
        <w:ind w:left="1440" w:firstLine="0"/>
        <w:rPr>
          <w:sz w:val="24"/>
          <w:szCs w:val="24"/>
        </w:rPr>
      </w:pPr>
      <w:bookmarkStart w:colFirst="0" w:colLast="0" w:name="_heading=h.ddye4nxrp81u" w:id="7"/>
      <w:bookmarkEnd w:id="7"/>
      <w:r w:rsidDel="00000000" w:rsidR="00000000" w:rsidRPr="00000000">
        <w:rPr>
          <w:sz w:val="24"/>
          <w:szCs w:val="24"/>
          <w:rtl w:val="0"/>
        </w:rPr>
        <w:t xml:space="preserve"> </w:t>
      </w:r>
    </w:p>
    <w:p w:rsidR="00000000" w:rsidDel="00000000" w:rsidP="00000000" w:rsidRDefault="00000000" w:rsidRPr="00000000" w14:paraId="0000001E">
      <w:pPr>
        <w:pageBreakBefore w:val="0"/>
        <w:widowControl w:val="1"/>
        <w:numPr>
          <w:ilvl w:val="1"/>
          <w:numId w:val="1"/>
        </w:numPr>
        <w:ind w:left="1440" w:hanging="360"/>
        <w:rPr>
          <w:sz w:val="24"/>
          <w:szCs w:val="24"/>
          <w:u w:val="none"/>
        </w:rPr>
      </w:pPr>
      <w:bookmarkStart w:colFirst="0" w:colLast="0" w:name="_heading=h.ajll85jpgudu" w:id="8"/>
      <w:bookmarkEnd w:id="8"/>
      <w:r w:rsidDel="00000000" w:rsidR="00000000" w:rsidRPr="00000000">
        <w:rPr>
          <w:sz w:val="24"/>
          <w:szCs w:val="24"/>
          <w:rtl w:val="0"/>
        </w:rPr>
        <w:t xml:space="preserve">Kevin Bowling recommended contacting the National Judicial College for International conference speakers.  Kevin will provide contact information to Sheryl.</w:t>
      </w:r>
    </w:p>
    <w:p w:rsidR="00000000" w:rsidDel="00000000" w:rsidP="00000000" w:rsidRDefault="00000000" w:rsidRPr="00000000" w14:paraId="0000001F">
      <w:pPr>
        <w:pageBreakBefore w:val="0"/>
        <w:widowControl w:val="1"/>
        <w:numPr>
          <w:ilvl w:val="0"/>
          <w:numId w:val="1"/>
        </w:numPr>
        <w:ind w:left="720" w:hanging="360"/>
        <w:rPr>
          <w:sz w:val="24"/>
          <w:szCs w:val="24"/>
          <w:u w:val="none"/>
        </w:rPr>
      </w:pPr>
      <w:bookmarkStart w:colFirst="0" w:colLast="0" w:name="_heading=h.zddis8crvir6" w:id="9"/>
      <w:bookmarkEnd w:id="9"/>
      <w:r w:rsidDel="00000000" w:rsidR="00000000" w:rsidRPr="00000000">
        <w:rPr>
          <w:sz w:val="24"/>
          <w:szCs w:val="24"/>
          <w:rtl w:val="0"/>
        </w:rPr>
        <w:t xml:space="preserve">Website Materials:  International materials can be found on the NACM website under “Resources, International Outreach” or under “Committees, Membership and International.” Michele requested committee members review website materials by next meeting when a discussion will be held about which documents should be revised/updated.  The committee brochure will need revising to include the newer version of NACM’s National Agenda.</w:t>
      </w:r>
    </w:p>
    <w:p w:rsidR="00000000" w:rsidDel="00000000" w:rsidP="00000000" w:rsidRDefault="00000000" w:rsidRPr="00000000" w14:paraId="00000020">
      <w:pPr>
        <w:pageBreakBefore w:val="0"/>
        <w:widowControl w:val="1"/>
        <w:numPr>
          <w:ilvl w:val="0"/>
          <w:numId w:val="1"/>
        </w:numPr>
        <w:ind w:left="720" w:hanging="360"/>
        <w:rPr>
          <w:sz w:val="24"/>
          <w:szCs w:val="24"/>
          <w:u w:val="none"/>
        </w:rPr>
      </w:pPr>
      <w:bookmarkStart w:colFirst="0" w:colLast="0" w:name="_heading=h.hlimf1gdsw1o" w:id="10"/>
      <w:bookmarkEnd w:id="10"/>
      <w:r w:rsidDel="00000000" w:rsidR="00000000" w:rsidRPr="00000000">
        <w:rPr>
          <w:sz w:val="24"/>
          <w:szCs w:val="24"/>
          <w:rtl w:val="0"/>
        </w:rPr>
        <w:t xml:space="preserve">NACM International Podcast:  Pete Kiefer moderated a two-part podcast which aired in May and June highlighting international consulting in different parts of the world.  The podcast received a lot of positive feedback. </w:t>
      </w:r>
    </w:p>
    <w:p w:rsidR="00000000" w:rsidDel="00000000" w:rsidP="00000000" w:rsidRDefault="00000000" w:rsidRPr="00000000" w14:paraId="00000021">
      <w:pPr>
        <w:pageBreakBefore w:val="0"/>
        <w:widowControl w:val="1"/>
        <w:numPr>
          <w:ilvl w:val="0"/>
          <w:numId w:val="1"/>
        </w:numPr>
        <w:ind w:left="720" w:hanging="360"/>
        <w:rPr>
          <w:sz w:val="24"/>
          <w:szCs w:val="24"/>
          <w:u w:val="none"/>
        </w:rPr>
      </w:pPr>
      <w:bookmarkStart w:colFirst="0" w:colLast="0" w:name="_heading=h.bb324nieovv3" w:id="11"/>
      <w:bookmarkEnd w:id="11"/>
      <w:r w:rsidDel="00000000" w:rsidR="00000000" w:rsidRPr="00000000">
        <w:rPr>
          <w:sz w:val="24"/>
          <w:szCs w:val="24"/>
          <w:rtl w:val="0"/>
        </w:rPr>
        <w:t xml:space="preserve">Future Projects for the committee to consider:</w:t>
      </w:r>
    </w:p>
    <w:p w:rsidR="00000000" w:rsidDel="00000000" w:rsidP="00000000" w:rsidRDefault="00000000" w:rsidRPr="00000000" w14:paraId="00000022">
      <w:pPr>
        <w:pageBreakBefore w:val="0"/>
        <w:widowControl w:val="1"/>
        <w:numPr>
          <w:ilvl w:val="1"/>
          <w:numId w:val="1"/>
        </w:numPr>
        <w:ind w:left="1440" w:hanging="360"/>
        <w:rPr>
          <w:sz w:val="24"/>
          <w:szCs w:val="24"/>
          <w:u w:val="none"/>
        </w:rPr>
      </w:pPr>
      <w:bookmarkStart w:colFirst="0" w:colLast="0" w:name="_heading=h.966bxqbcjr87" w:id="12"/>
      <w:bookmarkEnd w:id="12"/>
      <w:r w:rsidDel="00000000" w:rsidR="00000000" w:rsidRPr="00000000">
        <w:rPr>
          <w:sz w:val="24"/>
          <w:szCs w:val="24"/>
          <w:rtl w:val="0"/>
        </w:rPr>
        <w:t xml:space="preserve">List of international opportunities</w:t>
      </w:r>
    </w:p>
    <w:p w:rsidR="00000000" w:rsidDel="00000000" w:rsidP="00000000" w:rsidRDefault="00000000" w:rsidRPr="00000000" w14:paraId="00000023">
      <w:pPr>
        <w:pageBreakBefore w:val="0"/>
        <w:widowControl w:val="1"/>
        <w:numPr>
          <w:ilvl w:val="1"/>
          <w:numId w:val="1"/>
        </w:numPr>
        <w:ind w:left="1440" w:hanging="360"/>
        <w:rPr>
          <w:sz w:val="24"/>
          <w:szCs w:val="24"/>
          <w:u w:val="none"/>
        </w:rPr>
      </w:pPr>
      <w:bookmarkStart w:colFirst="0" w:colLast="0" w:name="_heading=h.yyqzxw1oyom" w:id="13"/>
      <w:bookmarkEnd w:id="13"/>
      <w:r w:rsidDel="00000000" w:rsidR="00000000" w:rsidRPr="00000000">
        <w:rPr>
          <w:sz w:val="24"/>
          <w:szCs w:val="24"/>
          <w:rtl w:val="0"/>
        </w:rPr>
        <w:t xml:space="preserve">List of those who have worked in other countries</w:t>
      </w:r>
    </w:p>
    <w:p w:rsidR="00000000" w:rsidDel="00000000" w:rsidP="00000000" w:rsidRDefault="00000000" w:rsidRPr="00000000" w14:paraId="00000024">
      <w:pPr>
        <w:pageBreakBefore w:val="0"/>
        <w:widowControl w:val="1"/>
        <w:numPr>
          <w:ilvl w:val="1"/>
          <w:numId w:val="1"/>
        </w:numPr>
        <w:ind w:left="1440" w:hanging="360"/>
        <w:rPr>
          <w:sz w:val="24"/>
          <w:szCs w:val="24"/>
          <w:u w:val="none"/>
        </w:rPr>
      </w:pPr>
      <w:bookmarkStart w:colFirst="0" w:colLast="0" w:name="_heading=h.qw01yg9btlmv" w:id="14"/>
      <w:bookmarkEnd w:id="14"/>
      <w:r w:rsidDel="00000000" w:rsidR="00000000" w:rsidRPr="00000000">
        <w:rPr>
          <w:sz w:val="24"/>
          <w:szCs w:val="24"/>
          <w:rtl w:val="0"/>
        </w:rPr>
        <w:t xml:space="preserve">Language requirements for international consulting</w:t>
      </w:r>
    </w:p>
    <w:p w:rsidR="00000000" w:rsidDel="00000000" w:rsidP="00000000" w:rsidRDefault="00000000" w:rsidRPr="00000000" w14:paraId="00000025">
      <w:pPr>
        <w:pageBreakBefore w:val="0"/>
        <w:widowControl w:val="1"/>
        <w:numPr>
          <w:ilvl w:val="1"/>
          <w:numId w:val="1"/>
        </w:numPr>
        <w:ind w:left="1440" w:hanging="360"/>
        <w:rPr>
          <w:sz w:val="24"/>
          <w:szCs w:val="24"/>
          <w:u w:val="none"/>
        </w:rPr>
      </w:pPr>
      <w:bookmarkStart w:colFirst="0" w:colLast="0" w:name="_heading=h.dmjt9hmr2spp" w:id="15"/>
      <w:bookmarkEnd w:id="15"/>
      <w:r w:rsidDel="00000000" w:rsidR="00000000" w:rsidRPr="00000000">
        <w:rPr>
          <w:sz w:val="24"/>
          <w:szCs w:val="24"/>
          <w:rtl w:val="0"/>
        </w:rPr>
        <w:t xml:space="preserve">JTC documents relevant to IACA or NCSC, CITOC </w:t>
      </w:r>
    </w:p>
    <w:p w:rsidR="00000000" w:rsidDel="00000000" w:rsidP="00000000" w:rsidRDefault="00000000" w:rsidRPr="00000000" w14:paraId="00000026">
      <w:pPr>
        <w:pageBreakBefore w:val="0"/>
        <w:widowControl w:val="1"/>
        <w:numPr>
          <w:ilvl w:val="1"/>
          <w:numId w:val="1"/>
        </w:numPr>
        <w:ind w:left="1440" w:hanging="360"/>
        <w:rPr>
          <w:sz w:val="24"/>
          <w:szCs w:val="24"/>
          <w:u w:val="none"/>
        </w:rPr>
      </w:pPr>
      <w:bookmarkStart w:colFirst="0" w:colLast="0" w:name="_heading=h.vmtcs45knv4m" w:id="16"/>
      <w:bookmarkEnd w:id="16"/>
      <w:r w:rsidDel="00000000" w:rsidR="00000000" w:rsidRPr="00000000">
        <w:rPr>
          <w:sz w:val="24"/>
          <w:szCs w:val="24"/>
          <w:rtl w:val="0"/>
        </w:rPr>
        <w:t xml:space="preserve">Poll attendees at IACA conference regarding needs around the world; SIG (Special Interest Group) at conference?</w:t>
      </w:r>
    </w:p>
    <w:p w:rsidR="00000000" w:rsidDel="00000000" w:rsidP="00000000" w:rsidRDefault="00000000" w:rsidRPr="00000000" w14:paraId="00000027">
      <w:pPr>
        <w:pageBreakBefore w:val="0"/>
        <w:widowControl w:val="1"/>
        <w:numPr>
          <w:ilvl w:val="1"/>
          <w:numId w:val="1"/>
        </w:numPr>
        <w:ind w:left="1440" w:hanging="360"/>
        <w:rPr>
          <w:sz w:val="24"/>
          <w:szCs w:val="24"/>
          <w:u w:val="none"/>
        </w:rPr>
      </w:pPr>
      <w:bookmarkStart w:colFirst="0" w:colLast="0" w:name="_heading=h.80t84q6gk6et" w:id="17"/>
      <w:bookmarkEnd w:id="17"/>
      <w:r w:rsidDel="00000000" w:rsidR="00000000" w:rsidRPr="00000000">
        <w:rPr>
          <w:sz w:val="24"/>
          <w:szCs w:val="24"/>
          <w:rtl w:val="0"/>
        </w:rPr>
        <w:t xml:space="preserve">Court systems in other countries - Integrate speakers on International Subcommittee meeting calls</w:t>
      </w:r>
    </w:p>
    <w:p w:rsidR="00000000" w:rsidDel="00000000" w:rsidP="00000000" w:rsidRDefault="00000000" w:rsidRPr="00000000" w14:paraId="00000028">
      <w:pPr>
        <w:pageBreakBefore w:val="0"/>
        <w:widowControl w:val="1"/>
        <w:numPr>
          <w:ilvl w:val="1"/>
          <w:numId w:val="1"/>
        </w:numPr>
        <w:ind w:left="1440" w:hanging="360"/>
        <w:rPr>
          <w:sz w:val="24"/>
          <w:szCs w:val="24"/>
          <w:u w:val="none"/>
        </w:rPr>
      </w:pPr>
      <w:bookmarkStart w:colFirst="0" w:colLast="0" w:name="_heading=h.ocrjozgg92d0" w:id="18"/>
      <w:bookmarkEnd w:id="18"/>
      <w:r w:rsidDel="00000000" w:rsidR="00000000" w:rsidRPr="00000000">
        <w:rPr>
          <w:sz w:val="24"/>
          <w:szCs w:val="24"/>
          <w:rtl w:val="0"/>
        </w:rPr>
        <w:t xml:space="preserve">NACM annual conference session on International Consulting, global and information sharing</w:t>
      </w:r>
    </w:p>
    <w:p w:rsidR="00000000" w:rsidDel="00000000" w:rsidP="00000000" w:rsidRDefault="00000000" w:rsidRPr="00000000" w14:paraId="00000029">
      <w:pPr>
        <w:pageBreakBefore w:val="0"/>
        <w:widowControl w:val="1"/>
        <w:numPr>
          <w:ilvl w:val="1"/>
          <w:numId w:val="1"/>
        </w:numPr>
        <w:ind w:left="1440" w:hanging="360"/>
        <w:rPr>
          <w:sz w:val="24"/>
          <w:szCs w:val="24"/>
          <w:u w:val="none"/>
        </w:rPr>
      </w:pPr>
      <w:bookmarkStart w:colFirst="0" w:colLast="0" w:name="_heading=h.dfb6cobzwys9" w:id="19"/>
      <w:bookmarkEnd w:id="19"/>
      <w:r w:rsidDel="00000000" w:rsidR="00000000" w:rsidRPr="00000000">
        <w:rPr>
          <w:sz w:val="24"/>
          <w:szCs w:val="24"/>
          <w:rtl w:val="0"/>
        </w:rPr>
        <w:t xml:space="preserve">Can IJIS play a role in the international arena?</w:t>
      </w:r>
    </w:p>
    <w:p w:rsidR="00000000" w:rsidDel="00000000" w:rsidP="00000000" w:rsidRDefault="00000000" w:rsidRPr="00000000" w14:paraId="0000002A">
      <w:pPr>
        <w:pageBreakBefore w:val="0"/>
        <w:widowControl w:val="1"/>
        <w:numPr>
          <w:ilvl w:val="1"/>
          <w:numId w:val="1"/>
        </w:numPr>
        <w:ind w:left="1440" w:hanging="360"/>
        <w:rPr>
          <w:sz w:val="24"/>
          <w:szCs w:val="24"/>
          <w:u w:val="none"/>
        </w:rPr>
      </w:pPr>
      <w:bookmarkStart w:colFirst="0" w:colLast="0" w:name="_heading=h.1ni1q0236b89" w:id="20"/>
      <w:bookmarkEnd w:id="20"/>
      <w:r w:rsidDel="00000000" w:rsidR="00000000" w:rsidRPr="00000000">
        <w:rPr>
          <w:sz w:val="24"/>
          <w:szCs w:val="24"/>
          <w:rtl w:val="0"/>
        </w:rPr>
        <w:t xml:space="preserve">One page summary document - core competency translated as a tangible resource</w:t>
      </w:r>
    </w:p>
    <w:p w:rsidR="00000000" w:rsidDel="00000000" w:rsidP="00000000" w:rsidRDefault="00000000" w:rsidRPr="00000000" w14:paraId="0000002B">
      <w:pPr>
        <w:pageBreakBefore w:val="0"/>
        <w:widowControl w:val="1"/>
        <w:numPr>
          <w:ilvl w:val="2"/>
          <w:numId w:val="1"/>
        </w:numPr>
        <w:ind w:left="2160" w:hanging="360"/>
        <w:rPr>
          <w:sz w:val="24"/>
          <w:szCs w:val="24"/>
          <w:u w:val="none"/>
        </w:rPr>
      </w:pPr>
      <w:bookmarkStart w:colFirst="0" w:colLast="0" w:name="_heading=h.mzzfsc986rrg" w:id="21"/>
      <w:bookmarkEnd w:id="21"/>
      <w:r w:rsidDel="00000000" w:rsidR="00000000" w:rsidRPr="00000000">
        <w:rPr>
          <w:sz w:val="24"/>
          <w:szCs w:val="24"/>
          <w:rtl w:val="0"/>
        </w:rPr>
        <w:t xml:space="preserve">American Translators Association (ATA)</w:t>
      </w:r>
    </w:p>
    <w:p w:rsidR="00000000" w:rsidDel="00000000" w:rsidP="00000000" w:rsidRDefault="00000000" w:rsidRPr="00000000" w14:paraId="0000002C">
      <w:pPr>
        <w:widowControl w:val="1"/>
        <w:numPr>
          <w:ilvl w:val="2"/>
          <w:numId w:val="1"/>
        </w:numPr>
        <w:ind w:left="2160" w:hanging="360"/>
        <w:rPr>
          <w:sz w:val="24"/>
          <w:szCs w:val="24"/>
        </w:rPr>
      </w:pPr>
      <w:bookmarkStart w:colFirst="0" w:colLast="0" w:name="_heading=h.jcah80dxkruw" w:id="22"/>
      <w:bookmarkEnd w:id="22"/>
      <w:r w:rsidDel="00000000" w:rsidR="00000000" w:rsidRPr="00000000">
        <w:rPr>
          <w:sz w:val="24"/>
          <w:szCs w:val="24"/>
          <w:rtl w:val="0"/>
        </w:rPr>
        <w:t xml:space="preserve">Oregon state services for interpreters/translators</w:t>
      </w:r>
    </w:p>
    <w:p w:rsidR="00000000" w:rsidDel="00000000" w:rsidP="00000000" w:rsidRDefault="00000000" w:rsidRPr="00000000" w14:paraId="0000002D">
      <w:pPr>
        <w:pageBreakBefore w:val="0"/>
        <w:widowControl w:val="1"/>
        <w:numPr>
          <w:ilvl w:val="1"/>
          <w:numId w:val="1"/>
        </w:numPr>
        <w:ind w:left="1440" w:hanging="360"/>
        <w:rPr>
          <w:sz w:val="24"/>
          <w:szCs w:val="24"/>
          <w:u w:val="none"/>
        </w:rPr>
      </w:pPr>
      <w:bookmarkStart w:colFirst="0" w:colLast="0" w:name="_heading=h.csej2qbzbwvb" w:id="23"/>
      <w:bookmarkEnd w:id="23"/>
      <w:r w:rsidDel="00000000" w:rsidR="00000000" w:rsidRPr="00000000">
        <w:rPr>
          <w:sz w:val="24"/>
          <w:szCs w:val="24"/>
          <w:rtl w:val="0"/>
        </w:rPr>
        <w:t xml:space="preserve">Center for global inclusion (GDEI) - Roger re site; executive director for partners in diversity</w:t>
      </w:r>
    </w:p>
    <w:p w:rsidR="00000000" w:rsidDel="00000000" w:rsidP="00000000" w:rsidRDefault="00000000" w:rsidRPr="00000000" w14:paraId="0000002E">
      <w:pPr>
        <w:pageBreakBefore w:val="0"/>
        <w:widowControl w:val="1"/>
        <w:numPr>
          <w:ilvl w:val="1"/>
          <w:numId w:val="1"/>
        </w:numPr>
        <w:ind w:left="1440" w:hanging="360"/>
        <w:rPr>
          <w:sz w:val="24"/>
          <w:szCs w:val="24"/>
          <w:u w:val="none"/>
        </w:rPr>
      </w:pPr>
      <w:bookmarkStart w:colFirst="0" w:colLast="0" w:name="_heading=h.pdb9q6303eew" w:id="24"/>
      <w:bookmarkEnd w:id="24"/>
      <w:r w:rsidDel="00000000" w:rsidR="00000000" w:rsidRPr="00000000">
        <w:rPr>
          <w:sz w:val="24"/>
          <w:szCs w:val="24"/>
          <w:rtl w:val="0"/>
        </w:rPr>
        <w:t xml:space="preserve">Zennell Brown re DEI practices</w:t>
      </w:r>
    </w:p>
    <w:p w:rsidR="00000000" w:rsidDel="00000000" w:rsidP="00000000" w:rsidRDefault="00000000" w:rsidRPr="00000000" w14:paraId="0000002F">
      <w:pPr>
        <w:pageBreakBefore w:val="0"/>
        <w:widowControl w:val="1"/>
        <w:rPr>
          <w:sz w:val="24"/>
          <w:szCs w:val="24"/>
        </w:rPr>
      </w:pPr>
      <w:bookmarkStart w:colFirst="0" w:colLast="0" w:name="_heading=h.bnyhii8kqyp2" w:id="25"/>
      <w:bookmarkEnd w:id="25"/>
      <w:r w:rsidDel="00000000" w:rsidR="00000000" w:rsidRPr="00000000">
        <w:rPr>
          <w:rtl w:val="0"/>
        </w:rPr>
      </w:r>
    </w:p>
    <w:p w:rsidR="00000000" w:rsidDel="00000000" w:rsidP="00000000" w:rsidRDefault="00000000" w:rsidRPr="00000000" w14:paraId="00000030">
      <w:pPr>
        <w:widowControl w:val="1"/>
        <w:rPr>
          <w:sz w:val="24"/>
          <w:szCs w:val="24"/>
        </w:rPr>
      </w:pPr>
      <w:bookmarkStart w:colFirst="0" w:colLast="0" w:name="_heading=h.1t7273wvli76" w:id="26"/>
      <w:bookmarkEnd w:id="26"/>
      <w:r w:rsidDel="00000000" w:rsidR="00000000" w:rsidRPr="00000000">
        <w:rPr>
          <w:rtl w:val="0"/>
        </w:rPr>
      </w:r>
    </w:p>
    <w:sectPr>
      <w:headerReference r:id="rId7" w:type="default"/>
      <w:pgSz w:h="15840" w:w="12240" w:orient="portrait"/>
      <w:pgMar w:bottom="280" w:top="1360" w:left="1320" w:right="1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720" w:firstLine="720"/>
      <w:rPr>
        <w:rFonts w:ascii="Times New Roman" w:cs="Times New Roman" w:eastAsia="Times New Roman" w:hAnsi="Times New Roman"/>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14609</wp:posOffset>
          </wp:positionH>
          <wp:positionV relativeFrom="paragraph">
            <wp:posOffset>24130</wp:posOffset>
          </wp:positionV>
          <wp:extent cx="781050" cy="781050"/>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1050" cy="781050"/>
                  </a:xfrm>
                  <a:prstGeom prst="rect"/>
                  <a:ln/>
                </pic:spPr>
              </pic:pic>
            </a:graphicData>
          </a:graphic>
        </wp:anchor>
      </w:drawing>
    </w:r>
  </w:p>
  <w:p w:rsidR="00000000" w:rsidDel="00000000" w:rsidP="00000000" w:rsidRDefault="00000000" w:rsidRPr="00000000" w14:paraId="00000032">
    <w:pPr>
      <w:ind w:left="720" w:firstLine="720"/>
      <w:rPr>
        <w:sz w:val="28"/>
        <w:szCs w:val="28"/>
      </w:rPr>
    </w:pPr>
    <w:r w:rsidDel="00000000" w:rsidR="00000000" w:rsidRPr="00000000">
      <w:rPr>
        <w:rFonts w:ascii="Times New Roman" w:cs="Times New Roman" w:eastAsia="Times New Roman" w:hAnsi="Times New Roman"/>
        <w:b w:val="1"/>
        <w:color w:val="000000"/>
        <w:sz w:val="32"/>
        <w:szCs w:val="32"/>
        <w:rtl w:val="0"/>
      </w:rPr>
      <w:t xml:space="preserve">National Association</w:t>
    </w:r>
    <w:r w:rsidDel="00000000" w:rsidR="00000000" w:rsidRPr="00000000">
      <w:rPr>
        <w:rtl w:val="0"/>
      </w:rPr>
    </w:r>
  </w:p>
  <w:p w:rsidR="00000000" w:rsidDel="00000000" w:rsidP="00000000" w:rsidRDefault="00000000" w:rsidRPr="00000000" w14:paraId="00000033">
    <w:pPr>
      <w:ind w:left="720" w:firstLine="720"/>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for Court Management           </w:t>
    </w:r>
    <w:r w:rsidDel="00000000" w:rsidR="00000000" w:rsidRPr="00000000">
      <w:rPr>
        <w:rFonts w:ascii="Times New Roman" w:cs="Times New Roman" w:eastAsia="Times New Roman" w:hAnsi="Times New Roman"/>
        <w:b w:val="1"/>
        <w:i w:val="1"/>
        <w:color w:val="000000"/>
        <w:sz w:val="28"/>
        <w:szCs w:val="28"/>
        <w:rtl w:val="0"/>
      </w:rPr>
      <w:t xml:space="preserve">Strengthening Court Professionals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___________________________________________________________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2083"/>
      <w:outlineLvl w:val="0"/>
    </w:pPr>
    <w:rPr>
      <w:rFonts w:ascii="Times New Roman" w:eastAsia="Times New Roman" w:hAnsi="Times New Roman"/>
      <w:b w:val="1"/>
      <w:bCs w:val="1"/>
      <w:i w:val="1"/>
      <w:sz w:val="36"/>
      <w:szCs w:val="36"/>
    </w:rPr>
  </w:style>
  <w:style w:type="paragraph" w:styleId="Heading5">
    <w:name w:val="heading 5"/>
    <w:basedOn w:val="Normal"/>
    <w:next w:val="Normal"/>
    <w:link w:val="Heading5Char"/>
    <w:uiPriority w:val="9"/>
    <w:semiHidden w:val="1"/>
    <w:unhideWhenUsed w:val="1"/>
    <w:qFormat w:val="1"/>
    <w:rsid w:val="00411136"/>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34" w:hanging="466"/>
    </w:pPr>
    <w:rPr>
      <w:rFonts w:ascii="Times New Roman" w:eastAsia="Times New Roman" w:hAnsi="Times New 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574A05"/>
    <w:rPr>
      <w:color w:val="0000ff" w:themeColor="hyperlink"/>
      <w:u w:val="single"/>
    </w:rPr>
  </w:style>
  <w:style w:type="character" w:styleId="FollowedHyperlink">
    <w:name w:val="FollowedHyperlink"/>
    <w:basedOn w:val="DefaultParagraphFont"/>
    <w:uiPriority w:val="99"/>
    <w:semiHidden w:val="1"/>
    <w:unhideWhenUsed w:val="1"/>
    <w:rsid w:val="005F7A4F"/>
    <w:rPr>
      <w:color w:val="800080" w:themeColor="followedHyperlink"/>
      <w:u w:val="single"/>
    </w:rPr>
  </w:style>
  <w:style w:type="paragraph" w:styleId="Header">
    <w:name w:val="header"/>
    <w:basedOn w:val="Normal"/>
    <w:link w:val="HeaderChar"/>
    <w:uiPriority w:val="99"/>
    <w:unhideWhenUsed w:val="1"/>
    <w:rsid w:val="005A19F5"/>
    <w:pPr>
      <w:tabs>
        <w:tab w:val="center" w:pos="4680"/>
        <w:tab w:val="right" w:pos="9360"/>
      </w:tabs>
    </w:pPr>
  </w:style>
  <w:style w:type="character" w:styleId="HeaderChar" w:customStyle="1">
    <w:name w:val="Header Char"/>
    <w:basedOn w:val="DefaultParagraphFont"/>
    <w:link w:val="Header"/>
    <w:uiPriority w:val="99"/>
    <w:rsid w:val="005A19F5"/>
  </w:style>
  <w:style w:type="paragraph" w:styleId="Footer">
    <w:name w:val="footer"/>
    <w:basedOn w:val="Normal"/>
    <w:link w:val="FooterChar"/>
    <w:uiPriority w:val="99"/>
    <w:unhideWhenUsed w:val="1"/>
    <w:rsid w:val="005A19F5"/>
    <w:pPr>
      <w:tabs>
        <w:tab w:val="center" w:pos="4680"/>
        <w:tab w:val="right" w:pos="9360"/>
      </w:tabs>
    </w:pPr>
  </w:style>
  <w:style w:type="character" w:styleId="FooterChar" w:customStyle="1">
    <w:name w:val="Footer Char"/>
    <w:basedOn w:val="DefaultParagraphFont"/>
    <w:link w:val="Footer"/>
    <w:uiPriority w:val="99"/>
    <w:rsid w:val="005A19F5"/>
  </w:style>
  <w:style w:type="paragraph" w:styleId="SectionLevel1" w:customStyle="1">
    <w:name w:val="Section Level 1"/>
    <w:basedOn w:val="Heading5"/>
    <w:rsid w:val="00411136"/>
    <w:pPr>
      <w:keepLines w:val="0"/>
      <w:widowControl w:val="1"/>
      <w:pBdr>
        <w:bottom w:color="auto" w:space="1" w:sz="4" w:val="single"/>
      </w:pBdr>
      <w:spacing w:before="0"/>
    </w:pPr>
    <w:rPr>
      <w:rFonts w:ascii="Tahoma" w:cs="Arial" w:eastAsia="Times New Roman" w:hAnsi="Tahoma"/>
      <w:b w:val="1"/>
      <w:bCs w:val="1"/>
      <w:color w:val="auto"/>
      <w:sz w:val="28"/>
      <w:szCs w:val="24"/>
    </w:rPr>
  </w:style>
  <w:style w:type="character" w:styleId="Heading5Char" w:customStyle="1">
    <w:name w:val="Heading 5 Char"/>
    <w:basedOn w:val="DefaultParagraphFont"/>
    <w:link w:val="Heading5"/>
    <w:uiPriority w:val="9"/>
    <w:semiHidden w:val="1"/>
    <w:rsid w:val="00411136"/>
    <w:rPr>
      <w:rFonts w:asciiTheme="majorHAnsi" w:cstheme="majorBidi" w:eastAsiaTheme="majorEastAsia" w:hAnsiTheme="majorHAnsi"/>
      <w:color w:val="365f91" w:themeColor="accent1" w:themeShade="0000BF"/>
    </w:rPr>
  </w:style>
  <w:style w:type="paragraph" w:styleId="Default" w:customStyle="1">
    <w:name w:val="Default"/>
    <w:rsid w:val="002D67A1"/>
    <w:pPr>
      <w:widowControl w:val="1"/>
      <w:autoSpaceDE w:val="0"/>
      <w:autoSpaceDN w:val="0"/>
      <w:adjustRightInd w:val="0"/>
    </w:pPr>
    <w:rPr>
      <w:rFonts w:ascii="Verdana" w:cs="Verdana" w:eastAsia="Calibri" w:hAnsi="Verdana"/>
      <w:color w:val="000000"/>
      <w:sz w:val="24"/>
      <w:szCs w:val="24"/>
    </w:rPr>
  </w:style>
  <w:style w:type="character" w:styleId="invite-phone-number" w:customStyle="1">
    <w:name w:val="invite-phone-number"/>
    <w:basedOn w:val="DefaultParagraphFont"/>
    <w:rsid w:val="00525048"/>
  </w:style>
  <w:style w:type="character" w:styleId="UnresolvedMention">
    <w:name w:val="Unresolved Mention"/>
    <w:basedOn w:val="DefaultParagraphFont"/>
    <w:uiPriority w:val="99"/>
    <w:semiHidden w:val="1"/>
    <w:unhideWhenUsed w:val="1"/>
    <w:rsid w:val="00927B0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pZJif9VWqoCHUkPgQDwZXlR4Ng==">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2019-08-21T18:14:00Z</dcterms:created>
  <dc:creator>lgomez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