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47856BC9" w:rsidR="00B662E0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6484CC3E" w14:textId="3253B2E1" w:rsidR="00EB2423" w:rsidRPr="00460573" w:rsidRDefault="00302AC4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Agenda</w:t>
      </w:r>
    </w:p>
    <w:p w14:paraId="180B7779" w14:textId="35661756" w:rsidR="00B662E0" w:rsidRDefault="00302AC4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June 7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>
        <w:rPr>
          <w:b/>
          <w:sz w:val="24"/>
        </w:rPr>
        <w:t>TBD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CA66B5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62F6351B" w:rsidR="00C51A6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302AC4">
        <w:t>May 3</w:t>
      </w:r>
      <w:r w:rsidR="00781DF7">
        <w:t>, 2023.</w:t>
      </w:r>
    </w:p>
    <w:p w14:paraId="5F5C70B2" w14:textId="21BFAEA3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  <w:r w:rsidR="00781DF7">
        <w:t>/Standing Agenda Items</w:t>
      </w:r>
    </w:p>
    <w:p w14:paraId="2D4F1346" w14:textId="0F5AFE2D" w:rsidR="000A3442" w:rsidRDefault="008B68F7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Change Requests</w:t>
      </w:r>
    </w:p>
    <w:p w14:paraId="397CBB88" w14:textId="1A60363C" w:rsidR="00CD0876" w:rsidRDefault="00F54C0F" w:rsidP="00302AC4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Request to change Video Gallery to Conference Videos </w:t>
      </w:r>
    </w:p>
    <w:p w14:paraId="223EB551" w14:textId="6277B28F" w:rsidR="005F47C4" w:rsidRDefault="005F47C4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Change LinkedIn links on NACM site to point to the new LinkedIn Group. (Natalie, Kelly)</w:t>
      </w:r>
    </w:p>
    <w:p w14:paraId="50DA6FBE" w14:textId="72A872E3" w:rsidR="00D31FBC" w:rsidRDefault="00302AC4" w:rsidP="00E50DB6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 xml:space="preserve">Roger has 2 pages identified. Do we want </w:t>
      </w:r>
      <w:r w:rsidR="00CA66B5">
        <w:t>social media links</w:t>
      </w:r>
      <w:r>
        <w:t xml:space="preserve"> on every page?</w:t>
      </w:r>
    </w:p>
    <w:p w14:paraId="68F763C7" w14:textId="205A387A" w:rsidR="00302AC4" w:rsidRDefault="00B77362" w:rsidP="00E50DB6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Signature Block – is there an easier way?</w:t>
      </w:r>
    </w:p>
    <w:p w14:paraId="394441F6" w14:textId="45D62144" w:rsidR="008B68F7" w:rsidRDefault="00F54C0F" w:rsidP="00F54C0F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New Website Maintenance 2024</w:t>
      </w:r>
    </w:p>
    <w:p w14:paraId="57949C98" w14:textId="3CF70FF5" w:rsidR="000A3442" w:rsidRDefault="00B77362" w:rsidP="00B77362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Meetings with companies who responded to RFE on 6/13.</w:t>
      </w:r>
    </w:p>
    <w:p w14:paraId="011C63BF" w14:textId="1E8E812A" w:rsidR="00021347" w:rsidRDefault="00021347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In the News: webpart on home page connected to posts.</w:t>
      </w:r>
    </w:p>
    <w:p w14:paraId="5BFDDE48" w14:textId="02B74477" w:rsidR="00021347" w:rsidRDefault="00CF1FC7" w:rsidP="00CF1FC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Email from John Thomas. Proposal to reprogram area to pull from posts marked ‘featured’ or a specific category if we specify. Discussion.</w:t>
      </w:r>
    </w:p>
    <w:p w14:paraId="4BCA4433" w14:textId="18CB876E" w:rsidR="00CC4C1F" w:rsidRDefault="00CC4C1F" w:rsidP="00CF1FC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Discussion: When this was first set up it was supposed to by dynamic. It would be to post announcements and highlight upcoming events. </w:t>
      </w:r>
      <w:r w:rsidR="007E464D">
        <w:t xml:space="preserve"> Announcements, Spotlight, Exclusive, </w:t>
      </w:r>
      <w:proofErr w:type="gramStart"/>
      <w:r w:rsidR="007E464D">
        <w:t>What’s</w:t>
      </w:r>
      <w:proofErr w:type="gramEnd"/>
      <w:r w:rsidR="007E464D">
        <w:t xml:space="preserve"> happening at NACM, This month at NACM. </w:t>
      </w:r>
      <w:r w:rsidR="00B77362">
        <w:t>Survey?</w:t>
      </w:r>
    </w:p>
    <w:p w14:paraId="1FB77D6B" w14:textId="673B50FE" w:rsidR="00F83064" w:rsidRDefault="00054A36" w:rsidP="00F83064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Committee Pages and Resources (Roger)</w:t>
      </w:r>
    </w:p>
    <w:p w14:paraId="699F00B4" w14:textId="7FB595ED" w:rsidR="00E872E1" w:rsidRDefault="00800972" w:rsidP="00E872E1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Proposal: Change focus of all NACM committee pages. Add a web part to each page with tiles. Each tile would be titled with a resource category related to the committee charge. Clicking on the tile will take you to a web page with links to various resources.</w:t>
      </w:r>
      <w:r w:rsidR="00B77362">
        <w:t xml:space="preserve"> (Future Work</w:t>
      </w:r>
      <w:r w:rsidR="004B63CD">
        <w:t>)</w:t>
      </w:r>
    </w:p>
    <w:p w14:paraId="1F6787C2" w14:textId="2998A930" w:rsidR="00E15359" w:rsidRDefault="00E15359" w:rsidP="008741E6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Proposal: Create a page that is </w:t>
      </w:r>
      <w:proofErr w:type="gramStart"/>
      <w:r>
        <w:t>similar to</w:t>
      </w:r>
      <w:proofErr w:type="gramEnd"/>
      <w:r>
        <w:t xml:space="preserve"> the podcast page that allows us to post </w:t>
      </w:r>
      <w:r w:rsidR="00160B19" w:rsidRPr="00160B19">
        <w:rPr>
          <w:b/>
          <w:bCs/>
          <w:i/>
          <w:iCs/>
        </w:rPr>
        <w:t>A</w:t>
      </w:r>
      <w:r w:rsidRPr="00160B19">
        <w:rPr>
          <w:b/>
          <w:bCs/>
          <w:i/>
          <w:iCs/>
        </w:rPr>
        <w:t xml:space="preserve"> Question of Ethics</w:t>
      </w:r>
      <w:r>
        <w:t xml:space="preserve"> video and audio recordings and associated surveys and documentation on the Ethics Committee Page. </w:t>
      </w:r>
    </w:p>
    <w:p w14:paraId="64E2086E" w14:textId="70934080" w:rsidR="00E15359" w:rsidRDefault="004B63CD" w:rsidP="00D81D6E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Meeting</w:t>
      </w:r>
      <w:r w:rsidR="00E15359">
        <w:t xml:space="preserve"> with Courtney Whiteside, Peter Kiefer, and Jeffrey Tsunekawa and Erin Carr. </w:t>
      </w:r>
    </w:p>
    <w:p w14:paraId="5C1E50BB" w14:textId="18F12225" w:rsidR="004B63CD" w:rsidRDefault="004B63CD" w:rsidP="004B63CD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75B7A13B" w14:textId="56EE2BA2" w:rsidR="004B63CD" w:rsidRDefault="004B63CD" w:rsidP="004B63CD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Website Chair for July 2023 – June 2024</w:t>
      </w:r>
    </w:p>
    <w:p w14:paraId="0A0CC949" w14:textId="03B55341" w:rsidR="004B63CD" w:rsidRDefault="008741E6" w:rsidP="004B63CD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Annual Conference</w:t>
      </w:r>
    </w:p>
    <w:p w14:paraId="5E479D1C" w14:textId="040017CC" w:rsidR="008741E6" w:rsidRDefault="008741E6" w:rsidP="004B63CD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Other Committee Updates</w:t>
      </w:r>
    </w:p>
    <w:p w14:paraId="1978C348" w14:textId="092B4D12" w:rsidR="008B68F7" w:rsidRDefault="0002242C" w:rsidP="00CA66B5">
      <w:pPr>
        <w:spacing w:before="244"/>
        <w:ind w:left="4393"/>
      </w:pPr>
      <w:r w:rsidRPr="00460573">
        <w:rPr>
          <w:b/>
        </w:rPr>
        <w:t>Future Meeting dates.</w:t>
      </w:r>
    </w:p>
    <w:p w14:paraId="6D75484E" w14:textId="00BD65DD" w:rsidR="00912D3B" w:rsidRPr="00460573" w:rsidRDefault="00054A36" w:rsidP="00912D3B">
      <w:pPr>
        <w:tabs>
          <w:tab w:val="left" w:pos="7299"/>
        </w:tabs>
        <w:ind w:left="1540"/>
      </w:pPr>
      <w:r>
        <w:t xml:space="preserve">June 7, </w:t>
      </w:r>
      <w:proofErr w:type="gramStart"/>
      <w:r>
        <w:t>2023</w:t>
      </w:r>
      <w:proofErr w:type="gramEnd"/>
      <w:r w:rsidR="008B68F7">
        <w:tab/>
      </w:r>
      <w:r w:rsidR="00FD3D37" w:rsidRPr="00460573">
        <w:t>July TBD at Annual Conference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757605">
    <w:abstractNumId w:val="0"/>
  </w:num>
  <w:num w:numId="2" w16cid:durableId="381755028">
    <w:abstractNumId w:val="1"/>
    <w:lvlOverride w:ilvl="0">
      <w:startOverride w:val="1"/>
    </w:lvlOverride>
  </w:num>
  <w:num w:numId="3" w16cid:durableId="1202474136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1347"/>
    <w:rsid w:val="00021495"/>
    <w:rsid w:val="0002242C"/>
    <w:rsid w:val="00054A36"/>
    <w:rsid w:val="000A3442"/>
    <w:rsid w:val="000B02A2"/>
    <w:rsid w:val="001217CB"/>
    <w:rsid w:val="0014379C"/>
    <w:rsid w:val="00160B19"/>
    <w:rsid w:val="00165C4F"/>
    <w:rsid w:val="002A0729"/>
    <w:rsid w:val="002A6329"/>
    <w:rsid w:val="00302AC4"/>
    <w:rsid w:val="00312B1C"/>
    <w:rsid w:val="00312D20"/>
    <w:rsid w:val="00343E37"/>
    <w:rsid w:val="00350C1A"/>
    <w:rsid w:val="0038447E"/>
    <w:rsid w:val="003D7E92"/>
    <w:rsid w:val="0040200A"/>
    <w:rsid w:val="004033BA"/>
    <w:rsid w:val="00415AA1"/>
    <w:rsid w:val="00460573"/>
    <w:rsid w:val="00467327"/>
    <w:rsid w:val="0047010C"/>
    <w:rsid w:val="00472F58"/>
    <w:rsid w:val="004B63CD"/>
    <w:rsid w:val="004C5398"/>
    <w:rsid w:val="004E6C0A"/>
    <w:rsid w:val="0050407C"/>
    <w:rsid w:val="00554CB5"/>
    <w:rsid w:val="005A52DD"/>
    <w:rsid w:val="005F47C4"/>
    <w:rsid w:val="00604D25"/>
    <w:rsid w:val="0065195A"/>
    <w:rsid w:val="00691312"/>
    <w:rsid w:val="006E7780"/>
    <w:rsid w:val="00722913"/>
    <w:rsid w:val="00781DF7"/>
    <w:rsid w:val="007A25FA"/>
    <w:rsid w:val="007D5C33"/>
    <w:rsid w:val="007E464D"/>
    <w:rsid w:val="007F4672"/>
    <w:rsid w:val="007F748D"/>
    <w:rsid w:val="00800972"/>
    <w:rsid w:val="0086553B"/>
    <w:rsid w:val="008741E6"/>
    <w:rsid w:val="008B68F7"/>
    <w:rsid w:val="008F7643"/>
    <w:rsid w:val="00912D3B"/>
    <w:rsid w:val="00985FEA"/>
    <w:rsid w:val="009C3BB8"/>
    <w:rsid w:val="00A169A5"/>
    <w:rsid w:val="00A23AC9"/>
    <w:rsid w:val="00A40CB7"/>
    <w:rsid w:val="00A47156"/>
    <w:rsid w:val="00A56D55"/>
    <w:rsid w:val="00A97D6B"/>
    <w:rsid w:val="00AA0B1F"/>
    <w:rsid w:val="00AB1E8B"/>
    <w:rsid w:val="00B662E0"/>
    <w:rsid w:val="00B77362"/>
    <w:rsid w:val="00BF11AB"/>
    <w:rsid w:val="00C00218"/>
    <w:rsid w:val="00C14B43"/>
    <w:rsid w:val="00C51A63"/>
    <w:rsid w:val="00CA66B5"/>
    <w:rsid w:val="00CC4C1F"/>
    <w:rsid w:val="00CD0876"/>
    <w:rsid w:val="00CD5D23"/>
    <w:rsid w:val="00CF1FC7"/>
    <w:rsid w:val="00D11C7B"/>
    <w:rsid w:val="00D31FBC"/>
    <w:rsid w:val="00D54610"/>
    <w:rsid w:val="00D552CC"/>
    <w:rsid w:val="00D81D6E"/>
    <w:rsid w:val="00D92386"/>
    <w:rsid w:val="00D926B5"/>
    <w:rsid w:val="00DB3455"/>
    <w:rsid w:val="00E01F43"/>
    <w:rsid w:val="00E15359"/>
    <w:rsid w:val="00E154F3"/>
    <w:rsid w:val="00E214C6"/>
    <w:rsid w:val="00E330EC"/>
    <w:rsid w:val="00E50DB6"/>
    <w:rsid w:val="00E60749"/>
    <w:rsid w:val="00E872E1"/>
    <w:rsid w:val="00EB2423"/>
    <w:rsid w:val="00EC5071"/>
    <w:rsid w:val="00EF5DC8"/>
    <w:rsid w:val="00F54C0F"/>
    <w:rsid w:val="00F57727"/>
    <w:rsid w:val="00F661B9"/>
    <w:rsid w:val="00F83064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S. Rand</cp:lastModifiedBy>
  <cp:revision>5</cp:revision>
  <dcterms:created xsi:type="dcterms:W3CDTF">2023-05-25T20:55:00Z</dcterms:created>
  <dcterms:modified xsi:type="dcterms:W3CDTF">2023-05-31T23:54:00Z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